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 of hazing.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37.152(a),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engages in hazing;</w:t>
      </w:r>
    </w:p>
    <w:p w:rsidR="003F3435" w:rsidRDefault="0032493E">
      <w:pPr>
        <w:spacing w:line="480" w:lineRule="auto"/>
        <w:ind w:firstLine="1440"/>
        <w:jc w:val="both"/>
      </w:pPr>
      <w:r>
        <w:t xml:space="preserve">(2)</w:t>
      </w:r>
      <w:r xml:space="preserve">
        <w:t> </w:t>
      </w:r>
      <w:r xml:space="preserve">
        <w:t> </w:t>
      </w:r>
      <w:r>
        <w:t xml:space="preserve">solicits, encourages, directs, aids, or attempts to aid another in engaging in hazing;</w:t>
      </w:r>
    </w:p>
    <w:p w:rsidR="003F3435" w:rsidRDefault="0032493E">
      <w:pPr>
        <w:spacing w:line="480" w:lineRule="auto"/>
        <w:ind w:firstLine="1440"/>
        <w:jc w:val="both"/>
      </w:pPr>
      <w:r>
        <w:t xml:space="preserve">(3)</w:t>
      </w:r>
      <w:r xml:space="preserve">
        <w:t> </w:t>
      </w:r>
      <w:r xml:space="preserve">
        <w:t> </w:t>
      </w:r>
      <w:r>
        <w:t xml:space="preserve">recklessly permits hazing to occur; or</w:t>
      </w:r>
    </w:p>
    <w:p w:rsidR="003F3435" w:rsidRDefault="0032493E">
      <w:pPr>
        <w:spacing w:line="480" w:lineRule="auto"/>
        <w:ind w:firstLine="1440"/>
        <w:jc w:val="both"/>
      </w:pPr>
      <w:r>
        <w:t xml:space="preserve">(4)</w:t>
      </w:r>
      <w:r xml:space="preserve">
        <w:t> </w:t>
      </w:r>
      <w:r xml:space="preserve">
        <w:t> </w:t>
      </w:r>
      <w:r>
        <w:t xml:space="preserve">has firsthand knowledge of the planning of a specific hazing incident involving a student in an educational institution, or has firsthand knowledge that a specific hazing incident has occurred, and knowingly fails to report that knowledge [</w:t>
      </w:r>
      <w:r>
        <w:rPr>
          <w:strike/>
        </w:rPr>
        <w:t xml:space="preserve">in writing</w:t>
      </w:r>
      <w:r>
        <w:t xml:space="preserve">] to the dean of students or other appropriate official of the institution</w:t>
      </w:r>
      <w:r>
        <w:rPr>
          <w:u w:val="single"/>
        </w:rPr>
        <w:t xml:space="preserve">, a peace officer, or a law enforcement agency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37.155(b),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Any person</w:t>
      </w:r>
      <w:r>
        <w:rPr>
          <w:u w:val="single"/>
        </w:rPr>
        <w:t xml:space="preserve">, including an entity organized to support an organization,</w:t>
      </w:r>
      <w:r>
        <w:t xml:space="preserve"> who voluntarily reports a specific hazing incident involving a student in an educational institution to the dean of students or other appropriate official of the institution</w:t>
      </w:r>
      <w:r>
        <w:rPr>
          <w:u w:val="single"/>
        </w:rPr>
        <w:t xml:space="preserve">, a peace officer, or a law enforcement agency</w:t>
      </w:r>
      <w:r>
        <w:t xml:space="preserve"> is immune from civil or criminal liability that might otherwise be incurred or imposed as a result of the reported hazing incident if the person:</w:t>
      </w:r>
    </w:p>
    <w:p w:rsidR="003F3435" w:rsidRDefault="0032493E">
      <w:pPr>
        <w:spacing w:line="480" w:lineRule="auto"/>
        <w:ind w:firstLine="1440"/>
        <w:jc w:val="both"/>
      </w:pPr>
      <w:r>
        <w:t xml:space="preserve">(1)</w:t>
      </w:r>
      <w:r xml:space="preserve">
        <w:t> </w:t>
      </w:r>
      <w:r xml:space="preserve">
        <w:t> </w:t>
      </w:r>
      <w:r>
        <w:t xml:space="preserve">reports the incident before being contacted by the institution </w:t>
      </w:r>
      <w:r>
        <w:rPr>
          <w:u w:val="single"/>
        </w:rPr>
        <w:t xml:space="preserve">or a law enforcement agency</w:t>
      </w:r>
      <w:r>
        <w:t xml:space="preserve"> concerning the incident or otherwise being included in the institution's </w:t>
      </w:r>
      <w:r>
        <w:rPr>
          <w:u w:val="single"/>
        </w:rPr>
        <w:t xml:space="preserve">or a law enforcement agency's</w:t>
      </w:r>
      <w:r>
        <w:t xml:space="preserve"> investigation of the incident;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as determined by the dean of students or other appropriate official of the institution designated by the institution,</w:t>
      </w:r>
      <w:r>
        <w:t xml:space="preserve">] cooperates in good faith throughout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any institutional process regarding the incident</w:t>
      </w:r>
      <w:r>
        <w:rPr>
          <w:u w:val="single"/>
        </w:rPr>
        <w:t xml:space="preserve">, as determined by the dean of students or other appropriate official of the institution designated by the institution;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law enforcement agency's investigation regarding the incident, as determined by the chief or other appropriate official of the law enforcement agency designated by the law enforcement agency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when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37.155, Education Code, as amended by this Act, applies only to a civil cause of action that accrues on or after the effective date of this Act. </w:t>
      </w:r>
      <w:r>
        <w:t xml:space="preserve"> </w:t>
      </w:r>
      <w:r>
        <w:t xml:space="preserve">An action that accrued before the effective date of this Act is governed by the law in effect at the time the action accrued,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