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foster care placement in and the licensing of certain residential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264.107, Family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establish guidelines for the placement of a child in a residential child-care facility at which a preventable death, as defined by Section 264.501, of a child in the managing conservatorship of the department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42.046, Human Resources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deny an application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 operated a residential child-care facility at which a preventable death, as defined by Section 264.501, Family Code, of a child in the managing conservatorship of the department occurred;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terminated a contract with the residential child-care facility as the result of the preventable death.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to Section 42.046, Human Resources Code, apply only to an application for a license submitted to the Health and Human Services Commission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