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Hall</w:t>
      </w:r>
      <w:r xml:space="preserve">
        <w:tab wTab="150" tlc="none" cTlc="0"/>
      </w:r>
      <w:r>
        <w:t xml:space="preserve">S.B.</w:t>
      </w:r>
      <w:r xml:space="preserve">
        <w:t> </w:t>
      </w:r>
      <w:r>
        <w:t xml:space="preserve">No.</w:t>
      </w:r>
      <w:r xml:space="preserve">
        <w:t> </w:t>
      </w:r>
      <w:r>
        <w:t xml:space="preserve">52</w:t>
      </w:r>
    </w:p>
    <w:p w:rsidR="003F3435" w:rsidRDefault="0032493E">
      <w:pPr>
        <w:spacing w:line="480" w:lineRule="auto"/>
        <w:ind w:firstLine="720"/>
        <w:jc w:val="both"/>
      </w:pPr>
      <w:r>
        <w:t xml:space="preserve">(</w:t>
      </w:r>
      <w:r>
        <w:t xml:space="preserve">In the Senate</w:t>
      </w:r>
      <w:r xml:space="preserve">
        <w:t> </w:t>
      </w:r>
      <w:r>
        <w:t xml:space="preserve">-</w:t>
      </w:r>
      <w:r xml:space="preserve">
        <w:t> </w:t>
      </w:r>
      <w:r>
        <w:t xml:space="preserve">Filed November</w:t>
      </w:r>
      <w:r xml:space="preserve">
        <w:t> </w:t>
      </w:r>
      <w:r>
        <w:t xml:space="preserve">14,</w:t>
      </w:r>
      <w:r xml:space="preserve">
        <w:t> </w:t>
      </w:r>
      <w:r>
        <w:t xml:space="preserve">2022; February</w:t>
      </w:r>
      <w:r xml:space="preserve">
        <w:t> </w:t>
      </w:r>
      <w:r>
        <w:t xml:space="preserve">15,</w:t>
      </w:r>
      <w:r xml:space="preserve">
        <w:t> </w:t>
      </w:r>
      <w:r>
        <w:t xml:space="preserve">2023, read first time and referred to Committee on Health &amp; Human Services; April</w:t>
      </w:r>
      <w:r xml:space="preserve">
        <w:t> </w:t>
      </w:r>
      <w:r>
        <w:t xml:space="preserve">3,</w:t>
      </w:r>
      <w:r xml:space="preserve">
        <w:t> </w:t>
      </w:r>
      <w:r>
        <w:t xml:space="preserve">2023, reported adversely, with favorable Committee Substitute by the following vote:</w:t>
      </w:r>
      <w:r>
        <w:t xml:space="preserve"> </w:t>
      </w:r>
      <w:r>
        <w:t xml:space="preserve"> </w:t>
      </w:r>
      <w:r>
        <w:t xml:space="preserve">Yeas 9, Nays 0; April</w:t>
      </w:r>
      <w:r xml:space="preserve">
        <w:t> </w:t>
      </w:r>
      <w:r>
        <w:t xml:space="preserve">3,</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52</w:t>
      </w:r>
      <w:r xml:space="preserve">
        <w:tab wTab="150" tlc="none" cTlc="0"/>
      </w:r>
      <w:r>
        <w:t xml:space="preserve">By:</w:t>
      </w:r>
      <w:r xml:space="preserve">
        <w:t> </w:t>
      </w:r>
      <w:r xml:space="preserve">
        <w:t> </w:t>
      </w:r>
      <w:r>
        <w:t xml:space="preserve">Perry</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right of state hospital patients to designate an essential caregiver for in-person visitation.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552, Health and Safety Code, is amended by adding Subchapter F to read as follows:</w:t>
      </w:r>
    </w:p>
    <w:p w:rsidR="003F3435" w:rsidRDefault="0032493E">
      <w:pPr>
        <w:spacing w:line="480" w:lineRule="auto"/>
        <w:jc w:val="center"/>
      </w:pPr>
      <w:r>
        <w:rPr>
          <w:u w:val="single"/>
        </w:rPr>
        <w:t xml:space="preserve">SUBCHAPTER F.  RIGHT TO ESSENTIAL CAREGIVER VISITS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552.201.</w:t>
      </w:r>
      <w:r>
        <w:rPr>
          <w:u w:val="single"/>
        </w:rPr>
        <w:t xml:space="preserve"> </w:t>
      </w:r>
      <w:r>
        <w:rPr>
          <w:u w:val="single"/>
        </w:rPr>
        <w:t xml:space="preserve"> </w:t>
      </w:r>
      <w:r>
        <w:rPr>
          <w:u w:val="single"/>
        </w:rPr>
        <w:t xml:space="preserve">DEFINITION.  In this chapter, "essential caregiver" means a family member, friend, guardian, or other individual a patient, patient's guardian, or patient's legally authorized representative selects for in-person visits.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552.202.</w:t>
      </w:r>
      <w:r>
        <w:rPr>
          <w:u w:val="single"/>
        </w:rPr>
        <w:t xml:space="preserve"> </w:t>
      </w:r>
      <w:r>
        <w:rPr>
          <w:u w:val="single"/>
        </w:rPr>
        <w:t xml:space="preserve"> </w:t>
      </w:r>
      <w:r>
        <w:rPr>
          <w:u w:val="single"/>
        </w:rPr>
        <w:t xml:space="preserve">PATIENT'S RIGHT TO ESSENTIAL CAREGIVER VISITS.  (a)  A patient, the patient's guardian, or the patient's legally authorized representative has the right to designate an essential caregiver with whom a state hospital may not prohibit in-person visitation.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patient is a minor, the patient's parent, guardian, or managing conservator may designate both of the minor patient's parents as essential caregivers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552.203.</w:t>
      </w:r>
      <w:r>
        <w:rPr>
          <w:u w:val="single"/>
        </w:rPr>
        <w:t xml:space="preserve"> </w:t>
      </w:r>
      <w:r>
        <w:rPr>
          <w:u w:val="single"/>
        </w:rPr>
        <w:t xml:space="preserve"> </w:t>
      </w:r>
      <w:r>
        <w:rPr>
          <w:u w:val="single"/>
        </w:rPr>
        <w:t xml:space="preserve">ESSENTIAL CAREGIVER POLICIES, PROCEDURES, AND SAFETY PROTOCOLS. (a)</w:t>
      </w:r>
      <w:r>
        <w:rPr>
          <w:u w:val="single"/>
        </w:rPr>
        <w:t xml:space="preserve"> </w:t>
      </w:r>
      <w:r>
        <w:rPr>
          <w:u w:val="single"/>
        </w:rPr>
        <w:t xml:space="preserve"> </w:t>
      </w:r>
      <w:r>
        <w:rPr>
          <w:u w:val="single"/>
        </w:rPr>
        <w:t xml:space="preserve">Notwithstanding Section 552.202, the executive commissioner by rule shall develop guidelines to assist state hospitals in establishing essential caregiver visitation policies and procedures. The guidelines must require the hospitals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allow a patient, patient's guardian, or patient's legally authorized representative or, for a minor patient, the patient's parent, guardian, or managing conservator, to designate for in-person visitation an essential caregiver;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a visitation schedule allowing the essential caregiver to visit the patient for at least two hours each day;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procedures to enable physical contact between the patient and essential caregiver;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obtain the signature of the essential caregiver certifying the caregiver will follow the hospital's safety protocols and any other policies, procedures, or rules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 hospital may not establish safety protocols under this section that are more stringent than the safety protocols the hospital establishes for hospital staff.</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552.204.</w:t>
      </w:r>
      <w:r>
        <w:rPr>
          <w:u w:val="single"/>
        </w:rPr>
        <w:t xml:space="preserve"> </w:t>
      </w:r>
      <w:r>
        <w:rPr>
          <w:u w:val="single"/>
        </w:rPr>
        <w:t xml:space="preserve"> </w:t>
      </w:r>
      <w:r>
        <w:rPr>
          <w:u w:val="single"/>
        </w:rPr>
        <w:t xml:space="preserve">REVOCATION OF ESSENTIAL CAREGIVER DESIGNATION.  (a)</w:t>
      </w:r>
      <w:r>
        <w:rPr>
          <w:u w:val="single"/>
        </w:rPr>
        <w:t xml:space="preserve"> </w:t>
      </w:r>
      <w:r>
        <w:rPr>
          <w:u w:val="single"/>
        </w:rPr>
        <w:t xml:space="preserve"> </w:t>
      </w:r>
      <w:r>
        <w:rPr>
          <w:u w:val="single"/>
        </w:rPr>
        <w:t xml:space="preserve">A state hospital may revoke an individual's designation as an essential caregiver if the individual violates the hospital's policies, procedures, or safety protocols established under Section 552.203.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state hospital revokes an individual's designation as an essential caregiver under this section, the patient, patient's guardian, or patient's legally authorized representative or, for a minor patient, the patient's parent, guardian, or managing conservator, has the right to immediately designate another individual as the patient's essential caregiver.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by rule shall establish an appeals process to evaluate the revocation of an individual's designation as an essential caregiver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552.205.</w:t>
      </w:r>
      <w:r>
        <w:rPr>
          <w:u w:val="single"/>
        </w:rPr>
        <w:t xml:space="preserve"> </w:t>
      </w:r>
      <w:r>
        <w:rPr>
          <w:u w:val="single"/>
        </w:rPr>
        <w:t xml:space="preserve"> </w:t>
      </w:r>
      <w:r>
        <w:rPr>
          <w:u w:val="single"/>
        </w:rPr>
        <w:t xml:space="preserve">TEMPORARY SUSPENSION OF ESSENTIAL CAREGIVER VISITS.  (a)</w:t>
      </w:r>
      <w:r>
        <w:rPr>
          <w:u w:val="single"/>
        </w:rPr>
        <w:t xml:space="preserve"> </w:t>
      </w:r>
      <w:r>
        <w:rPr>
          <w:u w:val="single"/>
        </w:rPr>
        <w:t xml:space="preserve"> </w:t>
      </w:r>
      <w:r>
        <w:rPr>
          <w:u w:val="single"/>
        </w:rPr>
        <w:t xml:space="preserve">A state hospital may petition the commission to suspend in-person essential caregiver visits for not more than seven days if in-person visitation poses a serious community health risk.  The commission may deny the hospital's request to suspend in-person essential caregiver visitation if the commission determines that in-person visitation does not pose a serious community health risk.</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 hospital may request an extension from the commission to suspend in-person essential caregiver visitation for more than seven days.  The commission may not approve an extension for a period that exceeds seven days, and the hospital must separately request each extension.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state hospital may not suspend in-person essential caregiver visitation in any year for more than 14 consecutive days or 45 days total.</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552.206.</w:t>
      </w:r>
      <w:r>
        <w:rPr>
          <w:u w:val="single"/>
        </w:rPr>
        <w:t xml:space="preserve"> </w:t>
      </w:r>
      <w:r>
        <w:rPr>
          <w:u w:val="single"/>
        </w:rPr>
        <w:t xml:space="preserve"> </w:t>
      </w:r>
      <w:r>
        <w:rPr>
          <w:u w:val="single"/>
        </w:rPr>
        <w:t xml:space="preserve">PROVISION OF NECESSARY PATIENT CARE BY ESSENTIAL CAREGIVER. </w:t>
      </w:r>
      <w:r>
        <w:rPr>
          <w:u w:val="single"/>
        </w:rPr>
        <w:t xml:space="preserve"> </w:t>
      </w:r>
      <w:r>
        <w:rPr>
          <w:u w:val="single"/>
        </w:rPr>
        <w:t xml:space="preserve"> </w:t>
      </w:r>
      <w:r>
        <w:rPr>
          <w:u w:val="single"/>
        </w:rPr>
        <w:t xml:space="preserve">This subchapter  may not be construed as requiring an essential caregiver to provide necessary care to a patient, and a state hospital may not require an essential caregiver to provide the necessary care.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executive commissioner of the Health and Human Services Commission shall prescribe the guidelines and adopt the rules required by Subchapter F, Chapter 552, Health and Safety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