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88R21833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</w:t>
      </w:r>
    </w:p>
    <w:p w:rsidR="003F3435" w:rsidRDefault="0032493E">
      <w:pPr>
        <w:ind w:firstLine="720"/>
        <w:jc w:val="both"/>
      </w:pPr>
      <w:r>
        <w:t xml:space="preserve">(Thimesch, Capriglione, Isaac, Frazier, Jones of Dallas)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Dallas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prohibitions in connection with the online sale of goods.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10, Business &amp; Commerce Code, is amended by adding Chapter 328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328.  ONLINE SALE OF GOODS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chapter, "goods" has the meaning assigned by Section 17.45.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PROHIBITIONS CONCERNING SALE OF GOODS ONLINE.  (a)  For commercial purposes, a person may not sell, use, or cause to be used any technology, device, or software in the sale of goods on an Internet website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functions as a bypass in the purchasing process;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disguises the identity of the purchaser;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permits the purchase of a quantity of goods in a number that exceeds the maximum number of goods that may be sold to one purchaser as specified by the seller or operator on the website;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allows for the unauthorized access to or identification of gift card information, including gift card numbers and gift card personal identification numbers;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circumvents a security measure, access control system, or other control, authorization, or measure in the purchasing process.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seller of goods on the Internet website or to the operator of the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 BY ATTORNEY GENERAL; INJUNCTION.  (a)  The attorney general may investigate a claim that a person violated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attorney general believes that a person is violating this chapter, the attorney general may bring an action in the name of the state to restrain or enjoin the person from violating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is entitled to recover all reasonable costs of bringing an action under this section, including court costs, reasonable attorney's fees, and investigation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