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water and wastewater requirements for the foreclosure sale of residential properties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232.0315, Local Government Code, is amended to read as follows:</w:t>
      </w:r>
    </w:p>
    <w:p w:rsidR="003F3435" w:rsidRDefault="0032493E">
      <w:pPr>
        <w:spacing w:line="480" w:lineRule="auto"/>
        <w:ind w:firstLine="720"/>
        <w:jc w:val="both"/>
      </w:pPr>
      <w:r>
        <w:t xml:space="preserve">Sec.</w:t>
      </w:r>
      <w:r xml:space="preserve">
        <w:t> </w:t>
      </w:r>
      <w:r>
        <w:t xml:space="preserve">232.0315.</w:t>
      </w:r>
      <w:r xml:space="preserve">
        <w:t> </w:t>
      </w:r>
      <w:r xml:space="preserve">
        <w:t> </w:t>
      </w:r>
      <w:r>
        <w:t xml:space="preserve">NOTICE OF WATER AND WASTEWATER REQUIREMENTS BY </w:t>
      </w:r>
      <w:r>
        <w:rPr>
          <w:u w:val="single"/>
        </w:rPr>
        <w:t xml:space="preserve">POLITICAL SUBDIVISIONS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232.0315(a)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t>
      </w:r>
      <w:r>
        <w:rPr>
          <w:u w:val="single"/>
        </w:rPr>
        <w:t xml:space="preserve">or other political subdivision located in the county</w:t>
      </w:r>
      <w:r>
        <w:t xml:space="preserve"> </w:t>
      </w:r>
      <w:r>
        <w:t xml:space="preserve">that sells:</w:t>
      </w:r>
    </w:p>
    <w:p w:rsidR="003F3435" w:rsidRDefault="0032493E">
      <w:pPr>
        <w:spacing w:line="480" w:lineRule="auto"/>
        <w:ind w:firstLine="1440"/>
        <w:jc w:val="both"/>
      </w:pPr>
      <w:r>
        <w:t xml:space="preserve">(1)</w:t>
      </w:r>
      <w:r xml:space="preserve">
        <w:t> </w:t>
      </w:r>
      <w:r xml:space="preserve">
        <w:t> </w:t>
      </w:r>
      <w:r>
        <w:t xml:space="preserve">under Section 34.01,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34, Civil Practice and Remedies Code, real property presumed to be for residential use under Section 232.022,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or other political subdivision located in the county</w:t>
      </w:r>
      <w:r>
        <w:t xml:space="preserve"> </w:t>
      </w:r>
      <w:r>
        <w:t xml:space="preserve">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w:t>
      </w:r>
      <w:r>
        <w:rPr>
          <w:u w:val="single"/>
        </w:rPr>
        <w:t xml:space="preserve">SELLER</w:t>
      </w:r>
      <w:r>
        <w:t xml:space="preserve"> </w:t>
      </w:r>
      <w:r>
        <w:t xml:space="preserve">[</w:t>
      </w:r>
      <w:r>
        <w:rPr>
          <w:strike/>
        </w:rPr>
        <w:t xml:space="preserve">COUNTY</w:t>
      </w:r>
      <w:r>
        <w:t xml:space="preserve">]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34.01(e), Tax Code, is amended to read as follows:</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statement required by Section 232.0315, Local Government Code, if the real property subject to the sale is located in a county subject to Subchapter B, Chapter 232, of that code and is presumed to be for residential use under Section 232.022 of that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sale for which public notice is required on or after the effective date of this Act.  A sale for which public notice is required before the effective date of this Act is governed by the law in effect when the public notice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