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West</w:t>
      </w:r>
      <w:r xml:space="preserve">
        <w:tab wTab="150" tlc="none" cTlc="0"/>
      </w:r>
      <w:r>
        <w:t xml:space="preserve">S.B.</w:t>
      </w:r>
      <w:r xml:space="preserve">
        <w:t> </w:t>
      </w:r>
      <w:r>
        <w:t xml:space="preserve">No.</w:t>
      </w:r>
      <w:r xml:space="preserve">
        <w:t> </w:t>
      </w:r>
      <w:r>
        <w:t xml:space="preserve">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w:t>
      </w:r>
      <w:r>
        <w:rPr>
          <w:u w:val="single"/>
        </w:rPr>
        <w:t xml:space="preserve">,</w:t>
      </w:r>
      <w:r>
        <w:t xml:space="preserve"> [</w:t>
      </w:r>
      <w:r>
        <w:rPr>
          <w:strike/>
        </w:rPr>
        <w:t xml:space="preserve">or</w:t>
      </w:r>
      <w:r>
        <w:t xml:space="preserve">] may be mailed to the holder's address as shown in the records of the comptroller</w:t>
      </w:r>
      <w:r>
        <w:rPr>
          <w:u w:val="single"/>
        </w:rPr>
        <w:t xml:space="preserve">, or at the election of the holder of the permit or license,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w:t>
      </w:r>
      <w:r>
        <w:rPr>
          <w:u w:val="single"/>
        </w:rPr>
        <w:t xml:space="preserve">,</w:t>
      </w:r>
      <w:r>
        <w:t xml:space="preserve"> [</w:t>
      </w:r>
      <w:r>
        <w:rPr>
          <w:strike/>
        </w:rPr>
        <w:t xml:space="preserve">or</w:t>
      </w:r>
      <w:r>
        <w:t xml:space="preserve">] may be mailed to the permittee's address as shown in the records of the comptroller</w:t>
      </w:r>
      <w:r>
        <w:rPr>
          <w:u w:val="single"/>
        </w:rPr>
        <w:t xml:space="preserve">, or at the election of the holder of the permit,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at the election of the corporation,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at the election of the corporation,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at the election of the corporation, send the notice by electronic means,</w:t>
      </w:r>
      <w:r>
        <w:t xml:space="preserve"> to the corporation at least 45 days before the forfeiture of corporate privileges.  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