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61</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by which the comptroller may provide certain notices relating to the revocation or suspension of a permit or license or the forfeiture of corporate privileges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w:t>
      </w:r>
      <w:r>
        <w:rPr>
          <w:u w:val="single"/>
        </w:rPr>
        <w:t xml:space="preserve">,</w:t>
      </w:r>
      <w:r>
        <w:t xml:space="preserve"> [</w:t>
      </w:r>
      <w:r>
        <w:rPr>
          <w:strike/>
        </w:rPr>
        <w:t xml:space="preserve">or</w:t>
      </w:r>
      <w:r>
        <w:t xml:space="preserve">] may be mailed to the holder's address as shown in the records of the comptroller</w:t>
      </w:r>
      <w:r>
        <w:rPr>
          <w:u w:val="single"/>
        </w:rPr>
        <w:t xml:space="preserve">, or at the election of the holder of the permit or license, may be served by electronic means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holder of the permit or license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151.203,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permit holder personally</w:t>
      </w:r>
      <w:r>
        <w:rPr>
          <w:u w:val="single"/>
        </w:rPr>
        <w:t xml:space="preserve">,</w:t>
      </w:r>
      <w:r>
        <w:t xml:space="preserve"> [</w:t>
      </w:r>
      <w:r>
        <w:rPr>
          <w:strike/>
        </w:rPr>
        <w:t xml:space="preserve">or</w:t>
      </w:r>
      <w:r>
        <w:t xml:space="preserve">] may be mailed to the permittee's address as shown in the records of the comptroller</w:t>
      </w:r>
      <w:r>
        <w:rPr>
          <w:u w:val="single"/>
        </w:rPr>
        <w:t xml:space="preserve">, or at the election of the holder of the permit, may be served by electronic means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permit holder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171.251, Tax Code, is amended to read as follows:</w:t>
      </w:r>
    </w:p>
    <w:p w:rsidR="003F3435" w:rsidRDefault="0032493E">
      <w:pPr>
        <w:spacing w:line="480" w:lineRule="auto"/>
        <w:ind w:firstLine="720"/>
        <w:jc w:val="both"/>
      </w:pPr>
      <w:r>
        <w:t xml:space="preserve">Sec.</w:t>
      </w:r>
      <w:r xml:space="preserve">
        <w:t> </w:t>
      </w:r>
      <w:r>
        <w:t xml:space="preserve">171.251.</w:t>
      </w:r>
      <w:r xml:space="preserve">
        <w:t> </w:t>
      </w:r>
      <w:r xml:space="preserve">
        <w:t> </w:t>
      </w:r>
      <w:r>
        <w:t xml:space="preserve">FORFEITURE OF CORPORATE PRIVILEGES.  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w:t>
      </w:r>
      <w:r>
        <w:rPr>
          <w:u w:val="single"/>
        </w:rPr>
        <w:t xml:space="preserve">or at the election of the corporation, provided by electronic means</w:t>
      </w:r>
      <w:r>
        <w:t xml:space="preserve">,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w:t>
      </w:r>
      <w:r>
        <w:rPr>
          <w:u w:val="single"/>
        </w:rPr>
        <w:t xml:space="preserve">or at the election of the corporation, provided by electronic means</w:t>
      </w:r>
      <w:r>
        <w:t xml:space="preserve">,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171.211 [</w:t>
      </w:r>
      <w:r>
        <w:rPr>
          <w:strike/>
        </w:rPr>
        <w:t xml:space="preserve">of this code</w:t>
      </w:r>
      <w:r>
        <w:t xml:space="preserve">] the corporation's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171.256(c) and (d),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shall mail the notice </w:t>
      </w:r>
      <w:r>
        <w:rPr>
          <w:u w:val="single"/>
        </w:rPr>
        <w:t xml:space="preserve">or at the election of the corporation, send the notice by electronic means,</w:t>
      </w:r>
      <w:r>
        <w:t xml:space="preserve"> to the corporation at least 45 days before the forfeiture of corporate privileges.  The notice shall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w:t>
      </w:r>
      <w:r>
        <w:rPr>
          <w:u w:val="single"/>
        </w:rPr>
        <w:t xml:space="preserve">if the notice is mailed to the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to the corporation by electronic means using the contact information provided to the comptroller by the corporation as shown in the records of the comptroller if the notice is sent to the corporation by electronic means</w:t>
      </w:r>
      <w:r>
        <w:t xml:space="preserve">.</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w:t>
      </w:r>
      <w:r>
        <w:rPr>
          <w:u w:val="single"/>
        </w:rPr>
        <w:t xml:space="preserve">or sent by electronic means</w:t>
      </w:r>
      <w:r>
        <w:t xml:space="preserve">.  For the purposes of this chapter, the notice and the record of the [</w:t>
      </w:r>
      <w:r>
        <w:rPr>
          <w:strike/>
        </w:rPr>
        <w:t xml:space="preserve">mailing</w:t>
      </w:r>
      <w:r>
        <w:t xml:space="preserve">] date </w:t>
      </w:r>
      <w:r>
        <w:rPr>
          <w:u w:val="single"/>
        </w:rPr>
        <w:t xml:space="preserve">the notice was mailed or sent by electronic means</w:t>
      </w:r>
      <w:r>
        <w:t xml:space="preserve"> constitute legal and sufficient notice of the forfeiture.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