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88R1551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an abortion-inducing drug.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171, Health and Safety Code, is amended by adding Section 171.0611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171.0611.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EFFECT OF OTHER LAWS; LOCAL REGULATION.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physician may provide an abortion-inducing drug to a pregnant individual in accordance with this subchapter. </w:t>
      </w:r>
      <w:r>
        <w:rPr>
          <w:u w:val="single"/>
        </w:rPr>
        <w:t xml:space="preserve"> </w:t>
      </w:r>
      <w:r>
        <w:rPr>
          <w:u w:val="single"/>
        </w:rPr>
        <w:t xml:space="preserve">To the extent that a provision of this subchapter conflicts with any other law, this subchapter controls.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adopt or enforce an ordinance, order, or other measure that conflicts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171.063(c),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Before the physician provides an abortion-inducing drug, the physician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examine the pregnant woman in person;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independently verify that a pregnancy exists;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document, in the woman's medical record, the gestational age and intrauterine location of the pregnancy to determine whether an ectopic pregnancy exists;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determine the pregnant woman's blood type, and for a woman who is Rh negative, offer to administer Rh immunoglobulin (RhoGAM) at the time the abortion-inducing drug is administered or used or the abortion is performed or induced to prevent Rh incompatibility, complications, or miscarriage in future pregnancies;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document whether the pregnant woman received treatment for Rh negativity, as diagnosed by the most accurate standard of medical care;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ensure the physician does not provide an abortion-inducing drug for a pregnant woman whose pregnancy is more than </w:t>
      </w:r>
      <w:r>
        <w:rPr>
          <w:u w:val="single"/>
        </w:rPr>
        <w:t xml:space="preserve">70</w:t>
      </w:r>
      <w:r>
        <w:t xml:space="preserve"> [</w:t>
      </w:r>
      <w:r>
        <w:rPr>
          <w:strike/>
        </w:rPr>
        <w:t xml:space="preserve">49</w:t>
      </w:r>
      <w:r>
        <w:t xml:space="preserve">] days of gestational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