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88R1828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relative or other designated caregiver of a foster child for monetary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264.760,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264.760.</w:t>
      </w:r>
      <w:r xml:space="preserve">
        <w:t> </w:t>
      </w:r>
      <w:r xml:space="preserve">
        <w:t> </w:t>
      </w:r>
      <w:r>
        <w:t xml:space="preserve">ELIGIBILITY FOR FOSTER CARE PAYMENTS AND PERMANENCY CARE ASSISTANCE.  Notwithstanding any other provision of this subchapter, a relative or other designated caregiver [</w:t>
      </w:r>
      <w:r>
        <w:rPr>
          <w:strike/>
        </w:rPr>
        <w:t xml:space="preserve">who becomes verified by a licensed child-placing agency to operate an agency foster home under Chapter 42, Human Resources Code,</w:t>
      </w:r>
      <w:r>
        <w:t xml:space="preserve">] may </w:t>
      </w:r>
      <w:r>
        <w:rPr>
          <w:u w:val="single"/>
        </w:rPr>
        <w:t xml:space="preserve">elect to</w:t>
      </w:r>
      <w:r>
        <w:t xml:space="preserve"> receive foster care payments in lieu of the benefits provided by this subchapter[</w:t>
      </w:r>
      <w:r>
        <w:rPr>
          <w:strike/>
        </w:rPr>
        <w:t xml:space="preserve">, beginning with the first month in which the relative or other designated caregiver becomes licensed or is verified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