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88R1803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Johnson</w:t>
      </w:r>
      <w:r xml:space="preserve">
        <w:tab wTab="150" tlc="none" cTlc="0"/>
      </w:r>
      <w:r>
        <w:t xml:space="preserve">S.B.</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polling place locations on the campuses of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 Election Code, is amended by adding Section 43.008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43.008.</w:t>
      </w:r>
      <w:r>
        <w:rPr>
          <w:u w:val="single"/>
        </w:rPr>
        <w:t xml:space="preserve"> </w:t>
      </w:r>
      <w:r>
        <w:rPr>
          <w:u w:val="single"/>
        </w:rPr>
        <w:t xml:space="preserve"> </w:t>
      </w:r>
      <w:r>
        <w:rPr>
          <w:u w:val="single"/>
        </w:rPr>
        <w:t xml:space="preserve">CAMPUS POLLING PLACE.  (a)  In this section, "institution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shall designate as a polling place a location on the main campus of an institution of higher education located within the county if at least 5,000 students are enrolled in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shall designate two polling places on the main campus of an institution of higher education if at least 10,000 students are enrolled in the institution, and shall designate one additional polling place for every additional 10,000 students enrolled in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