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88R2837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Indian Affairs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4, Government Code, is amended by adding Chapter 471 to read as follows:</w:t>
      </w:r>
    </w:p>
    <w:p w:rsidR="003F3435" w:rsidRDefault="0032493E">
      <w:pPr>
        <w:spacing w:line="480" w:lineRule="auto"/>
        <w:jc w:val="center"/>
      </w:pPr>
      <w:r>
        <w:rPr>
          <w:u w:val="single"/>
        </w:rPr>
        <w:t xml:space="preserve">CHAPTER 471.  TEXAS INDIAN AFFAIRS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471.001.</w:t>
      </w:r>
      <w:r>
        <w:rPr>
          <w:u w:val="single"/>
        </w:rPr>
        <w:t xml:space="preserve"> </w:t>
      </w:r>
      <w:r>
        <w:rPr>
          <w:u w:val="single"/>
        </w:rPr>
        <w:t xml:space="preserve"> </w:t>
      </w:r>
      <w:r>
        <w:rPr>
          <w:u w:val="single"/>
        </w:rPr>
        <w:t xml:space="preserve">PURPOSE.  The purpose of the Texas Indian Affairs Commission is to serve as a liaison between this state and the Indian tribes of this state and to assist indigenous communities with social and economic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471.002.</w:t>
      </w:r>
      <w:r>
        <w:rPr>
          <w:u w:val="single"/>
        </w:rPr>
        <w:t xml:space="preserve"> </w:t>
      </w:r>
      <w:r>
        <w:rPr>
          <w:u w:val="single"/>
        </w:rPr>
        <w:t xml:space="preserve"> </w:t>
      </w:r>
      <w:r>
        <w:rPr>
          <w:u w:val="single"/>
        </w:rPr>
        <w:t xml:space="preserve">DEFINITION.  In this chapter, "commission" means the Texas Indian Affairs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471.003.</w:t>
      </w:r>
      <w:r>
        <w:rPr>
          <w:u w:val="single"/>
        </w:rPr>
        <w:t xml:space="preserve"> </w:t>
      </w:r>
      <w:r>
        <w:rPr>
          <w:u w:val="single"/>
        </w:rPr>
        <w:t xml:space="preserve"> </w:t>
      </w:r>
      <w:r>
        <w:rPr>
          <w:u w:val="single"/>
        </w:rPr>
        <w:t xml:space="preserve">SUNSET ACT.  The Texas Indian Affairs Commission is subject to Chapter 325 (Texas Sunset Act).  Unless continued in existence as provided by that chapter, the commission is abolished and this chapter expires September 1, 2035.</w:t>
      </w:r>
    </w:p>
    <w:p w:rsidR="003F3435" w:rsidRDefault="0032493E">
      <w:pPr>
        <w:spacing w:line="480" w:lineRule="auto"/>
        <w:jc w:val="center"/>
      </w:pPr>
      <w:r>
        <w:rPr>
          <w:u w:val="single"/>
        </w:rPr>
        <w:t xml:space="preserve">SUBCHAPTER B.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471.051.</w:t>
      </w:r>
      <w:r>
        <w:rPr>
          <w:u w:val="single"/>
        </w:rPr>
        <w:t xml:space="preserve"> </w:t>
      </w:r>
      <w:r>
        <w:rPr>
          <w:u w:val="single"/>
        </w:rPr>
        <w:t xml:space="preserve"> </w:t>
      </w:r>
      <w:r>
        <w:rPr>
          <w:u w:val="single"/>
        </w:rPr>
        <w:t xml:space="preserve">ESTABLISHMENT.  The commission is established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471.052.</w:t>
      </w:r>
      <w:r>
        <w:rPr>
          <w:u w:val="single"/>
        </w:rPr>
        <w:t xml:space="preserve"> </w:t>
      </w:r>
      <w:r>
        <w:rPr>
          <w:u w:val="single"/>
        </w:rPr>
        <w:t xml:space="preserve"> </w:t>
      </w:r>
      <w:r>
        <w:rPr>
          <w:u w:val="single"/>
        </w:rPr>
        <w:t xml:space="preserve">COMMISSION MEMBERSHIP.  (a)  The commission is composed of 13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of the house of representatives, appointed by the speaker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senate,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public member,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of the Urban Inter-Tribal Center of Texas, appointed by the governor;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subject to Subsection (b), nine members of Native American descent who represent federally recognized Indian tribes or tribal organizations as listed by the United States secretary of the interior in accordance with 25 U.S.C. Section 5131,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commission members appointed under Subsection (a)(5):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r>
        <w:rPr>
          <w:u w:val="single"/>
        </w:rPr>
        <w:t xml:space="preserve"> </w:t>
      </w:r>
      <w:r>
        <w:rPr>
          <w:u w:val="single"/>
        </w:rPr>
        <w:t xml:space="preserve">one must be a member of the Alabama-Coushatta Tribe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w:t>
      </w:r>
      <w:r>
        <w:rPr>
          <w:u w:val="single"/>
        </w:rPr>
        <w:t xml:space="preserve"> </w:t>
      </w:r>
      <w:r>
        <w:rPr>
          <w:u w:val="single"/>
        </w:rPr>
        <w:t xml:space="preserve">one must be a member of the Kickapoo Traditional Tribe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w:t>
      </w:r>
      <w:r>
        <w:rPr>
          <w:u w:val="single"/>
        </w:rPr>
        <w:t xml:space="preserve"> </w:t>
      </w:r>
      <w:r>
        <w:rPr>
          <w:u w:val="single"/>
        </w:rPr>
        <w:t xml:space="preserve">one must be a member of the Ysleta Del Sur Pueblo;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remaining members may represent any of the following federally recognized Indian tribes or tribal organizations that maintain a connection to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Absentee Shawnee Tribe of Oklahoma;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Alabama-Quassarte Tribal Town;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Apache Tribe of Oklahoma;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Caddo Nation;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Cherokee Nation;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Cheyenne and Arapaho Tribes;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Choctaw Nation;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Comanche Nation;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Coushatta Tribe of Louisiana;</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Delaware Nation;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Jena Band of Choctaw Indians;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Jicarilla Apache Nation;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Kialegee Tribal Town;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Kickapoo Tribe of Oklahoma;</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the Kiowa Tribe of Oklahoma;</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the Mescalero Apache Tribe;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the Muscogee or Creek Nation;</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the Osage Nation;</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the Quapaw Tribe;</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the Seminole Nation of Oklahoma;</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the Shawnee Tribe;</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the Thlopthlocco Tribal Town;</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the Tonkawa Tribe;</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the Tunica-Biloxi Tribe;</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the United Keetoowah Band of Cherokee Indians; or</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Wichita and Affiliated Tribes.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member appointed under Subsection (a)(4) must be selected from a list of written recommendations submitted by the Urban Inter-Tribal Center of Texas.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members appointed under Subsections (b)(1) through (3) must be selected from a list of written recommendations submitted by the applicable federally recognized Indian tribe.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members appointed under Subsection (b)(4) must be selected from written recommendations submitted by the members of the legislature and the presiding officials of the federally recognized Indian tribes listed in that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Commission members must be residents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471.053.</w:t>
      </w:r>
      <w:r>
        <w:rPr>
          <w:u w:val="single"/>
        </w:rPr>
        <w:t xml:space="preserve"> </w:t>
      </w:r>
      <w:r>
        <w:rPr>
          <w:u w:val="single"/>
        </w:rPr>
        <w:t xml:space="preserve"> </w:t>
      </w:r>
      <w:r>
        <w:rPr>
          <w:u w:val="single"/>
        </w:rPr>
        <w:t xml:space="preserve">TERMS; VACANCY.  (a) </w:t>
      </w:r>
      <w:r>
        <w:rPr>
          <w:u w:val="single"/>
        </w:rPr>
        <w:t xml:space="preserve"> </w:t>
      </w:r>
      <w:r>
        <w:rPr>
          <w:u w:val="single"/>
        </w:rPr>
        <w:t xml:space="preserve">A commission member appointed under Section 471.052(a)(1) or (2) serves for the term prescribed by the appointing official. Commission members appointed under Sections 471.052(a)(3), (4), and (5) serve staggered six-year terms with the terms of approximately one-third of the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members are eligible for reappointment to another term or part of a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vacancy shall be filled in the same manner as the original appointment. </w:t>
      </w:r>
      <w:r>
        <w:rPr>
          <w:u w:val="single"/>
        </w:rPr>
        <w:t xml:space="preserve"> </w:t>
      </w:r>
      <w:r>
        <w:rPr>
          <w:u w:val="single"/>
        </w:rPr>
        <w:t xml:space="preserve">A commission member appointed to fill a vacancy on the commission shall serve for the remainder of the term for which the predecessor of the member was 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471.054.</w:t>
      </w:r>
      <w:r>
        <w:rPr>
          <w:u w:val="single"/>
        </w:rPr>
        <w:t xml:space="preserve"> </w:t>
      </w:r>
      <w:r>
        <w:rPr>
          <w:u w:val="single"/>
        </w:rPr>
        <w:t xml:space="preserve"> </w:t>
      </w:r>
      <w:r>
        <w:rPr>
          <w:u w:val="single"/>
        </w:rPr>
        <w:t xml:space="preserve">REIMBURSEMENT FOR EXPENSES.  A commission member serves without pay but is entitled to reimbursement for the travel expenses incurred by the member in attending commission meetings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471.055.</w:t>
      </w:r>
      <w:r>
        <w:rPr>
          <w:u w:val="single"/>
        </w:rPr>
        <w:t xml:space="preserve"> </w:t>
      </w:r>
      <w:r>
        <w:rPr>
          <w:u w:val="single"/>
        </w:rPr>
        <w:t xml:space="preserve"> </w:t>
      </w:r>
      <w:r>
        <w:rPr>
          <w:u w:val="single"/>
        </w:rPr>
        <w:t xml:space="preserve">PRESIDING OFFICER; OTHER OFFICERS. </w:t>
      </w:r>
      <w:r>
        <w:rPr>
          <w:u w:val="single"/>
        </w:rPr>
        <w:t xml:space="preserve"> </w:t>
      </w:r>
      <w:r>
        <w:rPr>
          <w:u w:val="single"/>
        </w:rPr>
        <w:t xml:space="preserve">(a) </w:t>
      </w:r>
      <w:r>
        <w:rPr>
          <w:u w:val="single"/>
        </w:rPr>
        <w:t xml:space="preserve"> </w:t>
      </w:r>
      <w:r>
        <w:rPr>
          <w:u w:val="single"/>
        </w:rPr>
        <w:t xml:space="preserve">The lieutenant governor and speaker of the house of representatives shall jointly appoint a presiding officer from among the commission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may elect from among the members other officers as the members consider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471.056.</w:t>
      </w:r>
      <w:r>
        <w:rPr>
          <w:u w:val="single"/>
        </w:rPr>
        <w:t xml:space="preserve"> </w:t>
      </w:r>
      <w:r>
        <w:rPr>
          <w:u w:val="single"/>
        </w:rPr>
        <w:t xml:space="preserve"> </w:t>
      </w:r>
      <w:r>
        <w:rPr>
          <w:u w:val="single"/>
        </w:rPr>
        <w:t xml:space="preserve">REMOVAL.  (a)  It is a ground for removal from the commission that a commission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471.052;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471.057.</w:t>
      </w:r>
      <w:r>
        <w:rPr>
          <w:u w:val="single"/>
        </w:rPr>
        <w:t xml:space="preserve"> </w:t>
      </w:r>
      <w:r>
        <w:rPr>
          <w:u w:val="single"/>
        </w:rPr>
        <w:t xml:space="preserve"> </w:t>
      </w:r>
      <w:r>
        <w:rPr>
          <w:u w:val="single"/>
        </w:rPr>
        <w:t xml:space="preserve">COMMISSION MEETINGS; QUORUM.  (a)  The commission shall meet at least quarterly at the call of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Seven commission members constitute a quorum for transacting commission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451.058.</w:t>
      </w:r>
      <w:r>
        <w:rPr>
          <w:u w:val="single"/>
        </w:rPr>
        <w:t xml:space="preserve"> </w:t>
      </w:r>
      <w:r>
        <w:rPr>
          <w:u w:val="single"/>
        </w:rPr>
        <w:t xml:space="preserve"> </w:t>
      </w:r>
      <w:r>
        <w:rPr>
          <w:u w:val="single"/>
        </w:rPr>
        <w:t xml:space="preserve">EXECUTIVE DIRECTOR; STAFF.  (a)  The office of the governor shall provide one employee to serve as executive director for the commission to transact commission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may provide additional staff and may support commission functions and activities from money available to the office that may be used for that purpose.</w:t>
      </w:r>
    </w:p>
    <w:p w:rsidR="003F3435" w:rsidRDefault="0032493E">
      <w:pPr>
        <w:spacing w:line="480" w:lineRule="auto"/>
        <w:jc w:val="center"/>
      </w:pPr>
      <w:r>
        <w:rPr>
          <w:u w:val="single"/>
        </w:rPr>
        <w:t xml:space="preserve">SUBCHAPTER C.  DUTIES AND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471.101.</w:t>
      </w:r>
      <w:r>
        <w:rPr>
          <w:u w:val="single"/>
        </w:rPr>
        <w:t xml:space="preserve"> </w:t>
      </w:r>
      <w:r>
        <w:rPr>
          <w:u w:val="single"/>
        </w:rPr>
        <w:t xml:space="preserve"> </w:t>
      </w:r>
      <w:r>
        <w:rPr>
          <w:u w:val="single"/>
        </w:rPr>
        <w:t xml:space="preserve">GENERAL DUTIES.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make recommendations to state agencies and  university systems in this state on policies and practices to improve the lives of the indigenous people of this state;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December 1 of each even-numbered year, make recommendations to the legislature on legislation that may improve the lives of the indigenous people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tribal communities in social and economic development, including improving the health, educational, agricultural, business, and industrial capacities of the communities;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 with local, state, and federal agencies to encourage and coordinate resources and programs to meet the needs of indigenous people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promote recognition of the rights of indigenous people to pursue cultural and religious traditions;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study, compile, and disseminate information on any aspect of the affairs of indigenous people in this state;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assist tribal organizations seeking state recognition.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471.102.</w:t>
      </w:r>
      <w:r>
        <w:rPr>
          <w:u w:val="single"/>
        </w:rPr>
        <w:t xml:space="preserve"> </w:t>
      </w:r>
      <w:r>
        <w:rPr>
          <w:u w:val="single"/>
        </w:rPr>
        <w:t xml:space="preserve"> </w:t>
      </w:r>
      <w:r>
        <w:rPr>
          <w:u w:val="single"/>
        </w:rPr>
        <w:t xml:space="preserve">ADVISORY STATUS.  (a)  In implementing its duties under this chapter, the commission functions only in an advisory capacity.  Commission membership does not constitute a public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does not apply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471.103.</w:t>
      </w:r>
      <w:r>
        <w:rPr>
          <w:u w:val="single"/>
        </w:rPr>
        <w:t xml:space="preserve"> </w:t>
      </w:r>
      <w:r>
        <w:rPr>
          <w:u w:val="single"/>
        </w:rPr>
        <w:t xml:space="preserve"> </w:t>
      </w:r>
      <w:r>
        <w:rPr>
          <w:u w:val="single"/>
        </w:rPr>
        <w:t xml:space="preserve">FUNDING.  (a)  The commission may accept gifts, grants, or donations or raise money from any available public or private source for the commission to use in performing the commission's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specifically appropriate money: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office of the governor to provide staff and to otherwise support functions and activities of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participate in the establishment and operation of an affiliated nonprofit organization dedicated to raising money for or providing services or other benefits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471.104.</w:t>
      </w:r>
      <w:r>
        <w:rPr>
          <w:u w:val="single"/>
        </w:rPr>
        <w:t xml:space="preserve"> </w:t>
      </w:r>
      <w:r>
        <w:rPr>
          <w:u w:val="single"/>
        </w:rPr>
        <w:t xml:space="preserve"> </w:t>
      </w:r>
      <w:r>
        <w:rPr>
          <w:u w:val="single"/>
        </w:rPr>
        <w:t xml:space="preserve">TEXAS INDIAN AFFAIRS COMMISSION ACCOUNT.  The Texas Indian Affairs Commission account is created as an account in the general revenue fund.  The office of the governor shall administer the account.  Distributions from the account may be used only to further the purposes of this chapter and perform commission duties imposed under this chapter.  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appropriated by the legislature to the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other donations received by the commission for the account.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office of the governor shall request written recommendations for appointments to the Texas Indian Affairs Commission from members of the legislature, the Urban Inter-Tribal Center of Texas, and the federally recognized Indian tribes or tribal organizations listed in Section 471.052,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lieutenant governor and speaker of the house of representatives shall appoint members to the Texas Indian Affairs Commission as provided by Sections 471.052(a)(1) and (2), Government Code, as added by this Act, to terms prescribed by the appointing official.</w:t>
      </w:r>
    </w:p>
    <w:p w:rsidR="003F3435" w:rsidRDefault="0032493E">
      <w:pPr>
        <w:spacing w:line="480" w:lineRule="auto"/>
        <w:ind w:firstLine="720"/>
        <w:jc w:val="both"/>
      </w:pPr>
      <w:r>
        <w:t xml:space="preserve">(c)</w:t>
      </w:r>
      <w:r xml:space="preserve">
        <w:t> </w:t>
      </w:r>
      <w:r xml:space="preserve">
        <w:t> </w:t>
      </w:r>
      <w:r>
        <w:t xml:space="preserve">In appointing the initial members of the Texas Indian Affairs Commission under Section 471.052, Government Code, as added by this Act, the governor shall appoint:</w:t>
      </w:r>
    </w:p>
    <w:p w:rsidR="003F3435" w:rsidRDefault="0032493E">
      <w:pPr>
        <w:spacing w:line="480" w:lineRule="auto"/>
        <w:ind w:firstLine="1440"/>
        <w:jc w:val="both"/>
      </w:pPr>
      <w:r>
        <w:t xml:space="preserve">(1)</w:t>
      </w:r>
      <w:r xml:space="preserve">
        <w:t> </w:t>
      </w:r>
      <w:r xml:space="preserve">
        <w:t> </w:t>
      </w:r>
      <w:r>
        <w:t xml:space="preserve">the member appointed under Section 471.052(a)(3), Government Code, as added by this Act, for a term expiring February 1, 2027;</w:t>
      </w:r>
    </w:p>
    <w:p w:rsidR="003F3435" w:rsidRDefault="0032493E">
      <w:pPr>
        <w:spacing w:line="480" w:lineRule="auto"/>
        <w:ind w:firstLine="1440"/>
        <w:jc w:val="both"/>
      </w:pPr>
      <w:r>
        <w:t xml:space="preserve">(2)</w:t>
      </w:r>
      <w:r xml:space="preserve">
        <w:t> </w:t>
      </w:r>
      <w:r xml:space="preserve">
        <w:t> </w:t>
      </w:r>
      <w:r>
        <w:t xml:space="preserve">the member appointed under Section 471.052(a)(4), Government Code, as added by this Act, for a term expiring February 1, 2029; and</w:t>
      </w:r>
    </w:p>
    <w:p w:rsidR="003F3435" w:rsidRDefault="0032493E">
      <w:pPr>
        <w:spacing w:line="480" w:lineRule="auto"/>
        <w:ind w:firstLine="1440"/>
        <w:jc w:val="both"/>
      </w:pPr>
      <w:r>
        <w:t xml:space="preserve">(3)</w:t>
      </w:r>
      <w:r xml:space="preserve">
        <w:t> </w:t>
      </w:r>
      <w:r xml:space="preserve">
        <w:t> </w:t>
      </w:r>
      <w:r>
        <w:t xml:space="preserve">with respect to the members appointed under Section 471.052(a)(5), Government Code, as added by this Act:</w:t>
      </w:r>
    </w:p>
    <w:p w:rsidR="003F3435" w:rsidRDefault="0032493E">
      <w:pPr>
        <w:spacing w:line="480" w:lineRule="auto"/>
        <w:ind w:firstLine="2160"/>
        <w:jc w:val="both"/>
      </w:pPr>
      <w:r>
        <w:t xml:space="preserve">(A)</w:t>
      </w:r>
      <w:r xml:space="preserve">
        <w:t> </w:t>
      </w:r>
      <w:r xml:space="preserve">
        <w:t> </w:t>
      </w:r>
      <w:r>
        <w:t xml:space="preserve">three members for terms expiring February 1, 2025;</w:t>
      </w:r>
    </w:p>
    <w:p w:rsidR="003F3435" w:rsidRDefault="0032493E">
      <w:pPr>
        <w:spacing w:line="480" w:lineRule="auto"/>
        <w:ind w:firstLine="2160"/>
        <w:jc w:val="both"/>
      </w:pPr>
      <w:r>
        <w:t xml:space="preserve">(B)</w:t>
      </w:r>
      <w:r xml:space="preserve">
        <w:t> </w:t>
      </w:r>
      <w:r xml:space="preserve">
        <w:t> </w:t>
      </w:r>
      <w:r>
        <w:t xml:space="preserve">three members for terms expiring February 1, 2027; and</w:t>
      </w:r>
    </w:p>
    <w:p w:rsidR="003F3435" w:rsidRDefault="0032493E">
      <w:pPr>
        <w:spacing w:line="480" w:lineRule="auto"/>
        <w:ind w:firstLine="2160"/>
        <w:jc w:val="both"/>
      </w:pPr>
      <w:r>
        <w:t xml:space="preserve">(C)</w:t>
      </w:r>
      <w:r xml:space="preserve">
        <w:t> </w:t>
      </w:r>
      <w:r xml:space="preserve">
        <w:t> </w:t>
      </w:r>
      <w:r>
        <w:t xml:space="preserve">three members for terms expiring February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