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under Article 18.01(b)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