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88R343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a subsequent writ of habeas corpus in certain felony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 Article 11.07, Code of Criminal Procedure,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If a subsequent application for writ of habeas corpus is filed after final disposition of an initial application challenging the same conviction, a court may not consider the merits of or grant relief based on the subsequent application unless [</w:t>
      </w:r>
      <w:r>
        <w:rPr>
          <w:strike/>
        </w:rPr>
        <w:t xml:space="preserve">the application contains sufficient specific facts establishing that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application contains sufficient specific facts establishing that</w:t>
      </w:r>
      <w:r>
        <w:t xml:space="preserve"> the current claims and issues have not been and could not have been presented previously in an original application or in a previously considered application filed under this article because the factual or legal basis for the claim was unavailable on the date the applicant filed the previous application;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application contains sufficient specific facts establishing that</w:t>
      </w:r>
      <w:r>
        <w:t xml:space="preserve"> by a preponderance of the evidence, but for a violation of the United States Constitution no rational juror could have found the applicant guilty beyond a reasonable doubt</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attorney representing the state having primary responsibility for the prosecution of similar cases in the jurisdiction consents in writing to the court's consideration of and ruling on the merits of the application.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"attorney representing the state" means a district attorney, a criminal district attorney, or a county attorney with criminal jurisdiction.  The term does not include an assistant prosecuting attorney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4(a), Article 11.07, Code of Criminal Procedure, as amended by this Act, applies only to an application for a writ of habeas corpus filed on or after the effective date of this Act.  An application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