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88R1508 SGM-D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Springer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143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use of a public school as a polling place.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43.031(e), Election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A polling place may not be located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on a public primary or secondary school campus;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 xml:space="preserve">
        <w:t> </w:t>
      </w:r>
      <w:r xml:space="preserve">
        <w:t> </w:t>
      </w:r>
      <w:r>
        <w:t xml:space="preserve">at the residence of a person who is: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 xml:space="preserve">
        <w:t> </w:t>
      </w:r>
      <w:r>
        <w:t xml:space="preserve">[</w:t>
      </w:r>
      <w:r>
        <w:rPr>
          <w:strike/>
        </w:rPr>
        <w:t xml:space="preserve">(1)</w:t>
      </w:r>
      <w:r>
        <w:t xml:space="preserve">]</w:t>
      </w:r>
      <w:r xml:space="preserve">
        <w:t> </w:t>
      </w:r>
      <w:r xml:space="preserve">
        <w:t> </w:t>
      </w:r>
      <w:r>
        <w:t xml:space="preserve">a candidate for an elective office, including an office of a political party;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 xml:space="preserve">
        <w:t> </w:t>
      </w:r>
      <w:r>
        <w:t xml:space="preserve">[</w:t>
      </w:r>
      <w:r>
        <w:rPr>
          <w:strike/>
        </w:rPr>
        <w:t xml:space="preserve">(2)</w:t>
      </w:r>
      <w:r>
        <w:t xml:space="preserve">]</w:t>
      </w:r>
      <w:r xml:space="preserve">
        <w:t> </w:t>
      </w:r>
      <w:r xml:space="preserve">
        <w:t> </w:t>
      </w:r>
      <w:r>
        <w:t xml:space="preserve">related within the third degree by consanguinity or the second degree by affinity, as determined under Chapter 573, Government Code, to a candidate described by </w:t>
      </w:r>
      <w:r>
        <w:rPr>
          <w:u w:val="single"/>
        </w:rPr>
        <w:t xml:space="preserve">Paragraph (A)</w:t>
      </w:r>
      <w:r>
        <w:t xml:space="preserve"> [</w:t>
      </w:r>
      <w:r>
        <w:rPr>
          <w:strike/>
        </w:rPr>
        <w:t xml:space="preserve">Subdivision (1)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143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