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salaries of sheriffs and to state assistance payments to offset the cost of sheriff's salaries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152, Local Government Code, is amended by adding Sections 152.0715 and 152.0716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MINIMUM SALARY OF SHERIFFS.  Notwithstanding any other law, the commissioners court of a county shall provide for each fiscal year a salary of at least $75,000 for the county's sheriff.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FINANCIAL ASSISTANCE TO PAY SALARIES OF SHERIFFS OF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serve the state purpose of ensuring professional law enforcement throughout the state, a county is entitled to an assistance payment from the state for each county fiscal year to assist the county in paying the sheriff's salary required by Section 152.0715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25,000 or less, the county is entitled to a payment of $25,000;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more than 25,000, the county is entitled to a payment of $10,000.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30th day after the first day of a county's fiscal year, the county must submit an application in the form and manner prescribed by comptroller rule to the comptroller to receive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remit the applicable assistance payment to which a county is entitled from available state funds not later than the 30th day after the date the comptroller receives the county's application for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county fiscal year that begins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comptroller of public accounts shall adopt rules as required by Section 152.0716(e), Local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