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88R3087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regulate statewide commerce.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51, Local Government Code, is amended by adding Section 51.004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51.004.</w:t>
      </w:r>
      <w:r>
        <w:rPr>
          <w:u w:val="single"/>
        </w:rPr>
        <w:t xml:space="preserve"> </w:t>
      </w:r>
      <w:r>
        <w:rPr>
          <w:u w:val="single"/>
        </w:rPr>
        <w:t xml:space="preserve"> </w:t>
      </w:r>
      <w:r>
        <w:rPr>
          <w:u w:val="single"/>
        </w:rPr>
        <w:t xml:space="preserve">REGULATION OF UNIQUE LOCAL CONCERNS AUTHORIZED; REGULATION OF STATEWIDE COMMERCE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"Citizens' physical safety" means the protection of citizens from physical bodily injury inflicted by physical contact with another person, an animal, or a physical condition on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activity" means the purchase or sale of goods or services of any kind or quantity by a person who engages in that activity in more than one municipality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"Regulation of local land use" means taking action consistent with Chapter 211, 212, 213, or 214, including adopting and enforcing building construction standards, building permitting, and prohibiting or limiting the use of designated property for one or more designated types or categories of commercial activity. </w:t>
      </w:r>
      <w:r>
        <w:rPr>
          <w:u w:val="single"/>
        </w:rPr>
        <w:t xml:space="preserve"> </w:t>
      </w:r>
      <w:r>
        <w:rPr>
          <w:u w:val="single"/>
        </w:rPr>
        <w:t xml:space="preserve">The term does not include any restriction, condition, or regulation of the goods, services, transactions, operations, purchaser-seller interactions, employment practices, finances, advertising, marketing, or any other conduct or practices by a person engaging in a commercial activity.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"Uniquely local concern" means a particularized concern unique to the physical conditions in the municipality. </w:t>
      </w:r>
      <w:r>
        <w:rPr>
          <w:u w:val="single"/>
        </w:rPr>
        <w:t xml:space="preserve"> </w:t>
      </w:r>
      <w:r>
        <w:rPr>
          <w:u w:val="single"/>
        </w:rPr>
        <w:t xml:space="preserve">The term does not include a commercial activity that is subject to state or federal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Subsection (c), a municipality may not adopt or enforce an ordinance, regulation, or other measure that imposes a restriction, condition, or regulation on commercial activity. </w:t>
      </w:r>
      <w:r>
        <w:rPr>
          <w:u w:val="single"/>
        </w:rPr>
        <w:t xml:space="preserve"> </w:t>
      </w:r>
      <w:r>
        <w:rPr>
          <w:u w:val="single"/>
        </w:rPr>
        <w:t xml:space="preserve">The prohibited action under this subsection impairs the free flow of commerce across the state and is inconsistent with the general law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may adopt and enforce an ordinance, regulation,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essential to directly regulating a uniquely local concern that the governing body of the municipality determines cannot be of similar concern in another municipality because of the uniqueness of the local concern;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essential to necessary regulation of local land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essential to protecting citizens' physical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expressly authorized to be adopted by a state statute;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nondiscrimination in the provision of employment or service to any person on the basis of any state or federally protected class.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acting under Subsection (c)(1) must contemporaneously adopt a detailed written statement describing the uniquely local concern and the basis for the municipality's determination that the concern cannot be of similar concern in another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(c)(4), a state statute that provides the statute does not preempt or affect municipal regulatory authority may not be construed to expressly authorize an ordinance, regulation, or other measure.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