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88R3094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proof of insurance and database requirements for operator's and certain exclusionary automobile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601, Transportation Code, is amended by adding Section 601.0815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601.0815.</w:t>
      </w:r>
      <w:r>
        <w:rPr>
          <w:u w:val="single"/>
        </w:rPr>
        <w:t xml:space="preserve"> </w:t>
      </w:r>
      <w:r>
        <w:rPr>
          <w:u w:val="single"/>
        </w:rPr>
        <w:t xml:space="preserve"> </w:t>
      </w:r>
      <w:r>
        <w:rPr>
          <w:u w:val="single"/>
        </w:rPr>
        <w:t xml:space="preserve">PROOF OF MOTOR VEHICLE LIABILITY INSURANCE FORM FOR OPERATOR'S POLICIES AND CERTAIN EXCLUSIONARY POLICIES. </w:t>
      </w:r>
      <w:r>
        <w:rPr>
          <w:u w:val="single"/>
        </w:rPr>
        <w:t xml:space="preserve"> </w:t>
      </w:r>
      <w:r>
        <w:rPr>
          <w:u w:val="single"/>
        </w:rPr>
        <w:t xml:space="preserve">(a) </w:t>
      </w:r>
      <w:r>
        <w:rPr>
          <w:u w:val="single"/>
        </w:rPr>
        <w:t xml:space="preserve"> </w:t>
      </w:r>
      <w:r>
        <w:rPr>
          <w:u w:val="single"/>
        </w:rPr>
        <w:t xml:space="preserve">This section applies only to a motor vehicle liability insurance policy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operator's policy;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excludes from coverage an individual who has permission to use a covered vehicle from the named insured.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Department of Insurance shall prescribe a proof of insurance form for an operator's policy that includes the information described by Section 601.081 and a statement in 24-point font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the policy is an operator's policy;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describes any vehicle excluded from coverage.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Insurance shall prescribe a proof of insurance form for a policy described by Subsection (a)(2) that includes the information described by Section 601.081 and a statement in 24-point font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the policy excludes certain individuals with permission to use the covered vehicle;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names the policyholder;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describes the individuals excluded from coverage, including by name if applicable, and states whether the policy excludes individuals not in the same household as the named insured.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of insurance may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601.454, Transportation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motor vehicle liability insurance policy that is an operator's policy or excludes from coverage an individual who has permission to use a covered vehicle from the named insured. In addition to the information provided under Subsection (a), an insurance company shall provide to the agent the information described by Section 601.0815(b) or (c), as applicable, for each policy to which this subsection applies that is issued by the insurance company.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