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88R30677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156</w:t>
      </w:r>
    </w:p>
    <w:p w:rsidR="003F3435" w:rsidRDefault="0032493E">
      <w:pPr>
        <w:ind w:firstLine="720"/>
        <w:jc w:val="both"/>
      </w:pPr>
      <w:r>
        <w:t xml:space="preserve">(King of Uvalde)</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156: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C.S.S.B.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and management of the use of groundwater and regulation of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7.142(a)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11.081;</w:t>
      </w:r>
    </w:p>
    <w:p w:rsidR="003F3435" w:rsidRDefault="0032493E">
      <w:pPr>
        <w:spacing w:line="480" w:lineRule="auto"/>
        <w:ind w:firstLine="1440"/>
        <w:jc w:val="both"/>
      </w:pPr>
      <w:r>
        <w:t xml:space="preserve">(2)</w:t>
      </w:r>
      <w:r xml:space="preserve">
        <w:t> </w:t>
      </w:r>
      <w:r xml:space="preserve">
        <w:t> </w:t>
      </w:r>
      <w:r>
        <w:t xml:space="preserve">Section 11.083;</w:t>
      </w:r>
    </w:p>
    <w:p w:rsidR="003F3435" w:rsidRDefault="0032493E">
      <w:pPr>
        <w:spacing w:line="480" w:lineRule="auto"/>
        <w:ind w:firstLine="1440"/>
        <w:jc w:val="both"/>
      </w:pPr>
      <w:r>
        <w:t xml:space="preserve">(3)</w:t>
      </w:r>
      <w:r xml:space="preserve">
        <w:t> </w:t>
      </w:r>
      <w:r xml:space="preserve">
        <w:t> </w:t>
      </w:r>
      <w:r>
        <w:t xml:space="preserve">Section 11.084;</w:t>
      </w:r>
    </w:p>
    <w:p w:rsidR="003F3435" w:rsidRDefault="0032493E">
      <w:pPr>
        <w:spacing w:line="480" w:lineRule="auto"/>
        <w:ind w:firstLine="1440"/>
        <w:jc w:val="both"/>
      </w:pPr>
      <w:r>
        <w:t xml:space="preserve">(4)</w:t>
      </w:r>
      <w:r xml:space="preserve">
        <w:t> </w:t>
      </w:r>
      <w:r xml:space="preserve">
        <w:t> </w:t>
      </w:r>
      <w:r>
        <w:t xml:space="preserve">Section 11.087;</w:t>
      </w:r>
    </w:p>
    <w:p w:rsidR="003F3435" w:rsidRDefault="0032493E">
      <w:pPr>
        <w:spacing w:line="480" w:lineRule="auto"/>
        <w:ind w:firstLine="1440"/>
        <w:jc w:val="both"/>
      </w:pPr>
      <w:r>
        <w:t xml:space="preserve">(5)</w:t>
      </w:r>
      <w:r xml:space="preserve">
        <w:t> </w:t>
      </w:r>
      <w:r xml:space="preserve">
        <w:t> </w:t>
      </w:r>
      <w:r>
        <w:t xml:space="preserve">Section 11.088;</w:t>
      </w:r>
    </w:p>
    <w:p w:rsidR="003F3435" w:rsidRDefault="0032493E">
      <w:pPr>
        <w:spacing w:line="480" w:lineRule="auto"/>
        <w:ind w:firstLine="1440"/>
        <w:jc w:val="both"/>
      </w:pPr>
      <w:r>
        <w:t xml:space="preserve">(6)</w:t>
      </w:r>
      <w:r xml:space="preserve">
        <w:t> </w:t>
      </w:r>
      <w:r xml:space="preserve">
        <w:t> </w:t>
      </w:r>
      <w:r>
        <w:t xml:space="preserve">Section 11.089;</w:t>
      </w:r>
    </w:p>
    <w:p w:rsidR="003F3435" w:rsidRDefault="0032493E">
      <w:pPr>
        <w:spacing w:line="480" w:lineRule="auto"/>
        <w:ind w:firstLine="1440"/>
        <w:jc w:val="both"/>
      </w:pPr>
      <w:r>
        <w:t xml:space="preserve">(7)</w:t>
      </w:r>
      <w:r xml:space="preserve">
        <w:t> </w:t>
      </w:r>
      <w:r xml:space="preserve">
        <w:t> </w:t>
      </w:r>
      <w:r>
        <w:t xml:space="preserve">Section 11.090;</w:t>
      </w:r>
    </w:p>
    <w:p w:rsidR="003F3435" w:rsidRDefault="0032493E">
      <w:pPr>
        <w:spacing w:line="480" w:lineRule="auto"/>
        <w:ind w:firstLine="1440"/>
        <w:jc w:val="both"/>
      </w:pPr>
      <w:r>
        <w:t xml:space="preserve">(8)</w:t>
      </w:r>
      <w:r xml:space="preserve">
        <w:t> </w:t>
      </w:r>
      <w:r xml:space="preserve">
        <w:t> </w:t>
      </w:r>
      <w:r>
        <w:t xml:space="preserve">Section 11.091;</w:t>
      </w:r>
    </w:p>
    <w:p w:rsidR="003F3435" w:rsidRDefault="0032493E">
      <w:pPr>
        <w:spacing w:line="480" w:lineRule="auto"/>
        <w:ind w:firstLine="1440"/>
        <w:jc w:val="both"/>
      </w:pPr>
      <w:r>
        <w:t xml:space="preserve">(9)</w:t>
      </w:r>
      <w:r xml:space="preserve">
        <w:t> </w:t>
      </w:r>
      <w:r xml:space="preserve">
        <w:t> </w:t>
      </w:r>
      <w:r>
        <w:t xml:space="preserve">Section 11.092;</w:t>
      </w:r>
    </w:p>
    <w:p w:rsidR="003F3435" w:rsidRDefault="0032493E">
      <w:pPr>
        <w:spacing w:line="480" w:lineRule="auto"/>
        <w:ind w:firstLine="1440"/>
        <w:jc w:val="both"/>
      </w:pPr>
      <w:r>
        <w:t xml:space="preserve">(10)</w:t>
      </w:r>
      <w:r xml:space="preserve">
        <w:t> </w:t>
      </w:r>
      <w:r xml:space="preserve">
        <w:t> </w:t>
      </w:r>
      <w:r>
        <w:t xml:space="preserve">Section 11.093;</w:t>
      </w:r>
    </w:p>
    <w:p w:rsidR="003F3435" w:rsidRDefault="0032493E">
      <w:pPr>
        <w:spacing w:line="480" w:lineRule="auto"/>
        <w:ind w:firstLine="1440"/>
        <w:jc w:val="both"/>
      </w:pPr>
      <w:r>
        <w:t xml:space="preserve">(11)</w:t>
      </w:r>
      <w:r xml:space="preserve">
        <w:t> </w:t>
      </w:r>
      <w:r xml:space="preserve">
        <w:t> </w:t>
      </w:r>
      <w:r>
        <w:t xml:space="preserve">Section 11.094;</w:t>
      </w:r>
    </w:p>
    <w:p w:rsidR="003F3435" w:rsidRDefault="0032493E">
      <w:pPr>
        <w:spacing w:line="480" w:lineRule="auto"/>
        <w:ind w:firstLine="1440"/>
        <w:jc w:val="both"/>
      </w:pPr>
      <w:r>
        <w:t xml:space="preserve">(12)</w:t>
      </w:r>
      <w:r xml:space="preserve">
        <w:t> </w:t>
      </w:r>
      <w:r xml:space="preserve">
        <w:t> </w:t>
      </w:r>
      <w:r>
        <w:t xml:space="preserve">Section 11.096; </w:t>
      </w:r>
      <w:r>
        <w:rPr>
          <w:u w:val="single"/>
        </w:rPr>
        <w:t xml:space="preserve">or</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Section 11.203;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Section 11.205.</w:t>
      </w:r>
    </w:p>
    <w:p w:rsidR="003F3435" w:rsidRDefault="0032493E">
      <w:pPr>
        <w:spacing w:line="480" w:lineRule="auto"/>
        <w:ind w:firstLine="720"/>
        <w:jc w:val="both"/>
      </w:pPr>
      <w:r>
        <w:t xml:space="preserve">(b)</w:t>
      </w:r>
      <w:r xml:space="preserve">
        <w:t> </w:t>
      </w:r>
      <w:r xml:space="preserve">
        <w:t> </w:t>
      </w:r>
      <w:r>
        <w:t xml:space="preserve">An offense under Subsection (a)(9), (a)(10), or </w:t>
      </w:r>
      <w:r>
        <w:rPr>
          <w:u w:val="single"/>
        </w:rPr>
        <w:t xml:space="preserve">(a)(13)</w:t>
      </w:r>
      <w:r>
        <w:t xml:space="preserve"> [</w:t>
      </w:r>
      <w:r>
        <w:rPr>
          <w:strike/>
        </w:rPr>
        <w:t xml:space="preserve">(a)(14)</w:t>
      </w:r>
      <w:r>
        <w:t xml:space="preserve">] is punishable under </w:t>
      </w:r>
      <w:r>
        <w:rPr>
          <w:u w:val="single"/>
        </w:rPr>
        <w:t xml:space="preserve">Section 7.187(a)(1)(A) or (2)(B)</w:t>
      </w:r>
      <w:r>
        <w:t xml:space="preserve"> [</w:t>
      </w:r>
      <w:r>
        <w:rPr>
          <w:strike/>
        </w:rPr>
        <w:t xml:space="preserve">Section 7.187(1)(A) or Section 7.187(2)(B)</w:t>
      </w:r>
      <w:r>
        <w:t xml:space="preserve">]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11, Water Code, is amended by adding Section 11.2011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11.2011.</w:t>
      </w:r>
      <w:r>
        <w:rPr>
          <w:u w:val="single"/>
        </w:rPr>
        <w:t xml:space="preserve"> </w:t>
      </w:r>
      <w:r>
        <w:rPr>
          <w:u w:val="single"/>
        </w:rPr>
        <w:t xml:space="preserve"> </w:t>
      </w:r>
      <w:r>
        <w:rPr>
          <w:u w:val="single"/>
        </w:rPr>
        <w:t xml:space="preserve">APPLICABILITY.  This subchapter, other than  Sections 11.202(c) and 11.206, applies only to an artesian well drilled outside the boundaries of a groundwater conservation district, subsidence district, or other conservation and reclamation district with the authority to regulate the drilling, spacing, or production of water wells.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Water Code, is amended by adding Subdivisions (2-a) and (32) and amending  Subdivisions (8) and (9)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"Conservation" means the practice of reducing the consumption of water, reducing the loss or waste of water, improving the efficiency in the use of water, or increasing the recycling and reuse of water so that a water supply is made available for future or alternative uses.</w:t>
      </w:r>
    </w:p>
    <w:p w:rsidR="003F3435" w:rsidRDefault="0032493E">
      <w:pPr>
        <w:spacing w:line="480" w:lineRule="auto"/>
        <w:ind w:firstLine="1440"/>
        <w:jc w:val="both"/>
      </w:pPr>
      <w:r>
        <w:t xml:space="preserve">(8)</w:t>
      </w:r>
      <w:r xml:space="preserve">
        <w:t> </w:t>
      </w:r>
      <w:r xml:space="preserve">
        <w:t> </w:t>
      </w:r>
      <w:r>
        <w:t xml:space="preserve">"Waste" means any one or more of the following:</w:t>
      </w:r>
    </w:p>
    <w:p w:rsidR="003F3435" w:rsidRDefault="0032493E">
      <w:pPr>
        <w:spacing w:line="480" w:lineRule="auto"/>
        <w:ind w:firstLine="2160"/>
        <w:jc w:val="both"/>
      </w:pPr>
      <w:r>
        <w:t xml:space="preserve">(A)</w:t>
      </w:r>
      <w:r xml:space="preserve">
        <w:t> </w:t>
      </w:r>
      <w:r xml:space="preserve">
        <w:t> </w:t>
      </w:r>
      <w:r>
        <w:t xml:space="preserve">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purpose;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by other deleterious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26;</w:t>
      </w:r>
    </w:p>
    <w:p w:rsidR="003F3435" w:rsidRDefault="0032493E">
      <w:pPr>
        <w:spacing w:line="480" w:lineRule="auto"/>
        <w:ind w:firstLine="2160"/>
        <w:jc w:val="both"/>
      </w:pPr>
      <w:r>
        <w:t xml:space="preserve">(F)</w:t>
      </w:r>
      <w:r xml:space="preserve">
        <w:t> </w:t>
      </w:r>
      <w:r xml:space="preserve">
        <w:t> </w:t>
      </w:r>
      <w:r>
        <w:t xml:space="preserve">groundwater pumped for irrigation that escapes as irrigation tailwater onto land other than that of the owner of the well unless permission has been granted by the occupant of the land receiving the discharge;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the production or use of groundwater in an amount that exceeds the amount reasonably necessary for the purpose for which the groundwater is needed, not including the production or use of groundwater for agricultural irrigation as necessary to comply with federal crop insurance standards and guidelines;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drilling, completing, maintaining, or operating a well that is not in compliance with the requirements of Chapter 1901, Occupations Code, or applicable rules adopted under that chapter</w:t>
      </w:r>
      <w:r>
        <w:t xml:space="preserve"> [</w:t>
      </w:r>
      <w:r>
        <w:rPr>
          <w:strike/>
        </w:rPr>
        <w:t xml:space="preserve">for water produced from an artesian well, "waste" also has the meaning assigned by Section 11.205</w:t>
      </w:r>
      <w:r>
        <w:t xml:space="preserve">].</w:t>
      </w:r>
    </w:p>
    <w:p w:rsidR="003F3435" w:rsidRDefault="0032493E">
      <w:pPr>
        <w:spacing w:line="480" w:lineRule="auto"/>
        <w:ind w:firstLine="1440"/>
        <w:jc w:val="both"/>
      </w:pPr>
      <w:r>
        <w:t xml:space="preserve">(9)</w:t>
      </w:r>
      <w:r xml:space="preserve">
        <w:t> </w:t>
      </w:r>
      <w:r xml:space="preserve">
        <w:t> </w:t>
      </w:r>
      <w:r>
        <w:t xml:space="preserve">"Use for a beneficial purpose" means </w:t>
      </w:r>
      <w:r>
        <w:rPr>
          <w:u w:val="single"/>
        </w:rPr>
        <w:t xml:space="preserve">the nonwasteful</w:t>
      </w:r>
      <w:r>
        <w:t xml:space="preserve"> use </w:t>
      </w:r>
      <w:r>
        <w:rPr>
          <w:u w:val="single"/>
        </w:rPr>
        <w:t xml:space="preserve">of groundwater</w:t>
      </w:r>
      <w:r>
        <w:t xml:space="preserve"> for:</w:t>
      </w:r>
    </w:p>
    <w:p w:rsidR="003F3435" w:rsidRDefault="0032493E">
      <w:pPr>
        <w:spacing w:line="480" w:lineRule="auto"/>
        <w:ind w:firstLine="2160"/>
        <w:jc w:val="both"/>
      </w:pPr>
      <w:r>
        <w:t xml:space="preserve">(A)</w:t>
      </w:r>
      <w:r xml:space="preserve">
        <w:t> </w:t>
      </w:r>
      <w:r xml:space="preserve">
        <w:t> </w:t>
      </w:r>
      <w:r>
        <w:t xml:space="preserve">agricultural, gardening, domestic, stock raising, municipal, mining, manufacturing, industrial, commercial, recreational, or pleasure purposes;</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sulphur, or other minerals; or</w:t>
      </w:r>
    </w:p>
    <w:p w:rsidR="003F3435" w:rsidRDefault="0032493E">
      <w:pPr>
        <w:spacing w:line="480" w:lineRule="auto"/>
        <w:ind w:firstLine="2160"/>
        <w:jc w:val="both"/>
      </w:pPr>
      <w:r>
        <w:t xml:space="preserve">(C)</w:t>
      </w:r>
      <w:r xml:space="preserve">
        <w:t> </w:t>
      </w:r>
      <w:r xml:space="preserve">
        <w:t> </w:t>
      </w:r>
      <w:r>
        <w:t xml:space="preserve">any other purpose that is useful and beneficial to the user.</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"Modeled sustained groundwater pumping" means the maximum amount of groundwater that the executive administrator, using the best available science, determines may be produced annually in perpetuity from an aquifer.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36, Water Code, is amended by adding Section 36.1025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36.1025.</w:t>
      </w:r>
      <w:r>
        <w:rPr>
          <w:u w:val="single"/>
        </w:rPr>
        <w:t xml:space="preserve"> </w:t>
      </w:r>
      <w:r>
        <w:rPr>
          <w:u w:val="single"/>
        </w:rPr>
        <w:t xml:space="preserve"> </w:t>
      </w:r>
      <w:r>
        <w:rPr>
          <w:u w:val="single"/>
        </w:rPr>
        <w:t xml:space="preserve">PETITION TO CHANGE RULES.  (a)  A person with a real property interest in groundwater may petition the district where the property that gives rise to the real property interest is located to adopt a rule or modify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by rule shall prescribe the form for a petition submitted under this section and the procedure for the submission, consideration, and disposition of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the district receives the petition,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and provide an explanation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rulemaking consistent with the granted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create a private cause of action for a decision to accept or deny a petition filed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36.1071, Water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management plan, or any amendments to the plan,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developed using the district's best available data and forwarded to the regional water planning group for use in their planning process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most recently approved desired future conditions adopted under Section 36.108;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amount of modeled available groundwater corresponding to the most recently approved desired future conditions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district shall amend a management plan before the second anniversary of the adoption of desired future conditions included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petition challenging the reasonableness of a desired future condition is filed under Section 36.1083(b), the executive administrator shall consider the management plan administratively complete if the district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recently approved desired future conditions adopted under Section 36.108;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modeled available groundwater corresponding to the desired future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of the status of the petition challenging the reasonableness of a desired future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by Subsections (a) and (e).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36.108, Water Code, is amended by amending Subsection (d) and adding Subsection (d-5) to read as follows: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w:t>
      </w:r>
      <w:r>
        <w:t xml:space="preserve"> </w:t>
      </w:r>
      <w:r>
        <w:t xml:space="preserve">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w:t>
      </w:r>
      <w:r>
        <w:rPr>
          <w:strike/>
        </w:rPr>
        <w:t xml:space="preserve">, including</w:t>
      </w:r>
      <w:r>
        <w:t xml:space="preserve">] for each aquifer in the management area</w:t>
      </w:r>
      <w:r>
        <w:rPr>
          <w:u w:val="single"/>
        </w:rPr>
        <w:t xml:space="preserve">, including:</w:t>
      </w:r>
    </w:p>
    <w:p w:rsidR="003F3435" w:rsidRDefault="0032493E">
      <w:pPr>
        <w:spacing w:line="480" w:lineRule="auto"/>
        <w:ind w:firstLine="2160"/>
        <w:jc w:val="both"/>
      </w:pPr>
      <w:r>
        <w:rPr>
          <w:u w:val="single"/>
        </w:rPr>
        <w:t xml:space="preserve">(A)</w:t>
      </w:r>
      <w:r xml:space="preserve">
        <w:t> </w:t>
      </w:r>
      <w:r xml:space="preserve">
        <w:t> </w:t>
      </w:r>
      <w:r>
        <w:t xml:space="preserve">the total estimated recoverable storage</w:t>
      </w:r>
      <w:r>
        <w:rPr>
          <w:u w:val="single"/>
        </w:rPr>
        <w:t xml:space="preserve">;</w:t>
      </w:r>
      <w:r>
        <w:t xml:space="preserve"> </w:t>
      </w:r>
      <w:r>
        <w:t xml:space="preserve">[</w:t>
      </w:r>
      <w:r>
        <w:rPr>
          <w:strike/>
        </w:rPr>
        <w:t xml:space="preserve">as provided by the executive administrator, and</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average annual recharge, inflows, and discharge;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calculated by the executive administrator, the modeled sustained groundwater pumping;</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36.002;</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Notwithstanding Subsection (d)(3), the executive administrator may not calculate the modeled sustained groundwater pumping for an aquifer or an aquifer that wholly or partly underlies an aquifer with a recharge rate such that an owner of land that overlies the aquifer qualifies or has previously qualified under federal tax law for a cost depletion deduction for the groundwater withdrawn from the aquifer for irrigation purposes.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36.113(d), Water Code, is amended to read as follows:</w:t>
      </w:r>
    </w:p>
    <w:p w:rsidR="003F3435" w:rsidRDefault="0032493E">
      <w:pPr>
        <w:spacing w:line="480" w:lineRule="auto"/>
        <w:ind w:firstLine="720"/>
        <w:jc w:val="both"/>
      </w:pPr>
      <w:r>
        <w:t xml:space="preserve">(d)</w:t>
      </w:r>
      <w:r xml:space="preserve">
        <w:t> </w:t>
      </w:r>
      <w:r xml:space="preserve">
        <w:t> </w:t>
      </w:r>
      <w:r>
        <w:t xml:space="preserve">This subsection does not apply to the renewal of an operating permit issued under Section 36.1145. </w:t>
      </w:r>
      <w:r>
        <w:t xml:space="preserve"> </w:t>
      </w:r>
      <w:r>
        <w:t xml:space="preserve">Before granting or denying a permit, or a permit amendment issued in accordance with Section 36.1146, the district shall consider whether:</w:t>
      </w:r>
    </w:p>
    <w:p w:rsidR="003F3435" w:rsidRDefault="0032493E">
      <w:pPr>
        <w:spacing w:line="480" w:lineRule="auto"/>
        <w:ind w:firstLine="1440"/>
        <w:jc w:val="both"/>
      </w:pPr>
      <w:r>
        <w:t xml:space="preserve">(1)</w:t>
      </w:r>
      <w:r xml:space="preserve">
        <w:t> </w:t>
      </w:r>
      <w:r xml:space="preserve">
        <w:t> </w:t>
      </w:r>
      <w:r>
        <w:t xml:space="preserve">the application conforms to the requirements prescribed by this chapter and is accompanied by the prescribed fees;</w:t>
      </w:r>
    </w:p>
    <w:p w:rsidR="003F3435" w:rsidRDefault="0032493E">
      <w:pPr>
        <w:spacing w:line="480" w:lineRule="auto"/>
        <w:ind w:firstLine="1440"/>
        <w:jc w:val="both"/>
      </w:pPr>
      <w:r>
        <w:t xml:space="preserve">(2)</w:t>
      </w:r>
      <w:r xml:space="preserve">
        <w:t> </w:t>
      </w:r>
      <w:r xml:space="preserve">
        <w:t> </w:t>
      </w:r>
      <w:r>
        <w:t xml:space="preserve">the proposed use of water unreasonably affects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existing groundwater and surface water resources</w:t>
      </w:r>
      <w:r>
        <w:rPr>
          <w:u w:val="single"/>
        </w:rPr>
        <w:t xml:space="preserve">;</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existing permit holders</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wells that are exempt from the requirement to obtain a permit under this chapter or district rules</w:t>
      </w:r>
      <w:r>
        <w:t xml:space="preserve">;</w:t>
      </w:r>
    </w:p>
    <w:p w:rsidR="003F3435" w:rsidRDefault="0032493E">
      <w:pPr>
        <w:spacing w:line="480" w:lineRule="auto"/>
        <w:ind w:firstLine="1440"/>
        <w:jc w:val="both"/>
      </w:pPr>
      <w:r>
        <w:t xml:space="preserve">(3)</w:t>
      </w:r>
      <w:r xml:space="preserve">
        <w:t> </w:t>
      </w:r>
      <w:r xml:space="preserve">
        <w:t> </w:t>
      </w:r>
      <w:r>
        <w:t xml:space="preserve">the proposed use of water is dedicated to any beneficial use;</w:t>
      </w:r>
    </w:p>
    <w:p w:rsidR="003F3435" w:rsidRDefault="0032493E">
      <w:pPr>
        <w:spacing w:line="480" w:lineRule="auto"/>
        <w:ind w:firstLine="1440"/>
        <w:jc w:val="both"/>
      </w:pPr>
      <w:r>
        <w:t xml:space="preserve">(4)</w:t>
      </w:r>
      <w:r xml:space="preserve">
        <w:t> </w:t>
      </w:r>
      <w:r xml:space="preserve">
        <w:t> </w:t>
      </w:r>
      <w:r>
        <w:t xml:space="preserve">the proposed use of water is consistent with the district's approved management plan;</w:t>
      </w:r>
    </w:p>
    <w:p w:rsidR="003F3435" w:rsidRDefault="0032493E">
      <w:pPr>
        <w:spacing w:line="480" w:lineRule="auto"/>
        <w:ind w:firstLine="1440"/>
        <w:jc w:val="both"/>
      </w:pPr>
      <w:r>
        <w:t xml:space="preserve">(5)</w:t>
      </w:r>
      <w:r xml:space="preserve">
        <w:t> </w:t>
      </w:r>
      <w:r xml:space="preserve">
        <w:t> </w:t>
      </w:r>
      <w:r>
        <w:t xml:space="preserve">if the well will be located in the Hill Country Priority Groundwater Management Area, the proposed use of water from the well is wholly or partly to provide water to a pond, lake, or reservoir to enhance the appearance of the landscape;</w:t>
      </w:r>
    </w:p>
    <w:p w:rsidR="003F3435" w:rsidRDefault="0032493E">
      <w:pPr>
        <w:spacing w:line="480" w:lineRule="auto"/>
        <w:ind w:firstLine="1440"/>
        <w:jc w:val="both"/>
      </w:pPr>
      <w:r>
        <w:t xml:space="preserve">(6)</w:t>
      </w:r>
      <w:r xml:space="preserve">
        <w:t> </w:t>
      </w:r>
      <w:r xml:space="preserve">
        <w:t> </w:t>
      </w:r>
      <w:r>
        <w:t xml:space="preserve">the applicant has agreed to avoid waste and achieve water conservation; and</w:t>
      </w:r>
    </w:p>
    <w:p w:rsidR="003F3435" w:rsidRDefault="0032493E">
      <w:pPr>
        <w:spacing w:line="480" w:lineRule="auto"/>
        <w:ind w:firstLine="1440"/>
        <w:jc w:val="both"/>
      </w:pPr>
      <w:r>
        <w:t xml:space="preserve">(7)</w:t>
      </w:r>
      <w:r xml:space="preserve">
        <w:t> </w:t>
      </w:r>
      <w:r xml:space="preserve">
        <w:t> </w:t>
      </w:r>
      <w:r>
        <w:t xml:space="preserve">the applicant has agreed that reasonable diligence will be used to protect groundwater quality and that the applicant will follow well plugging guidelines at the time of well closure.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36, Water Code, is amended by adding Section 36.1141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36.1141.</w:t>
      </w:r>
      <w:r>
        <w:rPr>
          <w:u w:val="single"/>
        </w:rPr>
        <w:t xml:space="preserve"> </w:t>
      </w:r>
      <w:r>
        <w:rPr>
          <w:u w:val="single"/>
        </w:rPr>
        <w:t xml:space="preserve"> </w:t>
      </w:r>
      <w:r>
        <w:rPr>
          <w:u w:val="single"/>
        </w:rPr>
        <w:t xml:space="preserve">NOTICE REQUIRED FOR APPLICATION FOR PERMIT OR PERMIT AMENDMENT.  (a) </w:t>
      </w:r>
      <w:r>
        <w:rPr>
          <w:u w:val="single"/>
        </w:rPr>
        <w:t xml:space="preserve"> </w:t>
      </w:r>
      <w:r>
        <w:rPr>
          <w:u w:val="single"/>
        </w:rPr>
        <w:t xml:space="preserve">Except as provided by Subsection (b), a district that has adopted rules regulating the spacing of wells under Section 36.116(a)(1) to require wells to be spaced a certain distance from other wells shall adopt rules requiring that notice of an application for a permit or permit amendment to drill a well or increase the production capacity of an existing well be provided to each landowner whose: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is located wholly or partly within the spacing distances from other wells under the spacing rules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obtain a permit or permit amendment for a well of a certain size or location under the spacing rules of the district will be affected if the district approves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is not required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replacement well to be drilled at or near the location of the well which it is intended to replace that has an equal or lesser production capacity than the well which it is intended to replace as determined by the rules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emergency well necessary to mitigate a loss of production capacity of an existing well as determined by the rules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notice is to be provided to the lessors of the right to produce groundwater from a property where the applicant for the permit or permit amendment is the lessee;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posts in a place readily accessible to the public at the district's main office a list of the applications described by Subsection (a) that includes the name of the applicant and address or approximate location of the well or proposed well;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posts on the home page of the district's Internet website, if the district operates an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list described by Paragraph (A);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link to a web application that includes the information included on a list described by Paragraph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36.122, Water Code, is amended by amending Subsections (e) and (p) and adding Subsections (e-1), (e-2), and (e-3)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the</w:t>
      </w:r>
      <w:r>
        <w:t xml:space="preserve"> [</w:t>
      </w:r>
      <w:r>
        <w:rPr>
          <w:strike/>
        </w:rPr>
        <w:t xml:space="preserve">The</w:t>
      </w:r>
      <w:r>
        <w:t xml:space="preserve">] district may impose an export fee or surcharge using one of the following methods:</w:t>
      </w:r>
    </w:p>
    <w:p w:rsidR="003F3435" w:rsidRDefault="0032493E">
      <w:pPr>
        <w:spacing w:line="480" w:lineRule="auto"/>
        <w:ind w:firstLine="1440"/>
        <w:jc w:val="both"/>
      </w:pPr>
      <w:r>
        <w:t xml:space="preserve">(1)</w:t>
      </w:r>
      <w:r xml:space="preserve">
        <w:t> </w:t>
      </w:r>
      <w:r xml:space="preserve">
        <w:t> </w:t>
      </w:r>
      <w:r>
        <w:t xml:space="preserve">a fee negotiated between the district and the exporter;</w:t>
      </w:r>
    </w:p>
    <w:p w:rsidR="003F3435" w:rsidRDefault="0032493E">
      <w:pPr>
        <w:spacing w:line="480" w:lineRule="auto"/>
        <w:ind w:firstLine="1440"/>
        <w:jc w:val="both"/>
      </w:pPr>
      <w:r>
        <w:t xml:space="preserve">(2)</w:t>
      </w:r>
      <w:r xml:space="preserve">
        <w:t> </w:t>
      </w:r>
      <w:r xml:space="preserve">
        <w:t> </w:t>
      </w:r>
      <w:r>
        <w:rPr>
          <w:u w:val="single"/>
        </w:rPr>
        <w:t xml:space="preserve">for a tax-based district,</w:t>
      </w:r>
      <w:r>
        <w:t xml:space="preserve"> a rate not to exceed </w:t>
      </w:r>
      <w:r>
        <w:rPr>
          <w:u w:val="single"/>
        </w:rPr>
        <w:t xml:space="preserve">20 cents</w:t>
      </w:r>
      <w:r>
        <w:t xml:space="preserve"> [</w:t>
      </w:r>
      <w:r>
        <w:rPr>
          <w:strike/>
        </w:rPr>
        <w:t xml:space="preserve">the equivalent of the district's tax rate per hundred dollars of valuation</w:t>
      </w:r>
      <w:r>
        <w:t xml:space="preserve">] for each thousand gallons of water exported from the district [</w:t>
      </w:r>
      <w:r>
        <w:rPr>
          <w:strike/>
        </w:rPr>
        <w:t xml:space="preserve">or 2.5 cents per thousand gallons of water, if the district assesses a tax rate of less than 2.5 cents per hundred dollars of valuation</w:t>
      </w:r>
      <w:r>
        <w:t xml:space="preserve">]; or</w:t>
      </w:r>
    </w:p>
    <w:p w:rsidR="003F3435" w:rsidRDefault="0032493E">
      <w:pPr>
        <w:spacing w:line="480" w:lineRule="auto"/>
        <w:ind w:firstLine="1440"/>
        <w:jc w:val="both"/>
      </w:pPr>
      <w:r>
        <w:t xml:space="preserve">(3)</w:t>
      </w:r>
      <w:r xml:space="preserve">
        <w:t> </w:t>
      </w:r>
      <w:r xml:space="preserve">
        <w:t> </w:t>
      </w:r>
      <w:r>
        <w:t xml:space="preserve">for a fee-based district, </w:t>
      </w:r>
      <w:r>
        <w:rPr>
          <w:u w:val="single"/>
        </w:rPr>
        <w:t xml:space="preserve">a rate not to exceed the greater of 20 cents for each thousand gallons or</w:t>
      </w:r>
      <w:r>
        <w:t xml:space="preserve"> a 50 percent surcharge, in addition to the district's production fee, for water exported from the district.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Effective January 1, 2024, the maximum allowable rate a district may impose for an export fee or surcharge under Subsection (e)(2) or (e)(3) increases by three percent each calendar year.</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district governed by a special law in regard to an export fee or surcharge on water exported from the district may charge an export fee or surcharge in accordance with that special law or in accordance with Subsections (e) and (e-1).</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An export fee or surcharge imposed under Subsection (e) or an increase in an imposed export fee or surcharge is not valid unless it is approved by the board after a public hearing.</w:t>
      </w:r>
    </w:p>
    <w:p w:rsidR="003F3435" w:rsidRDefault="0032493E">
      <w:pPr>
        <w:spacing w:line="480" w:lineRule="auto"/>
        <w:ind w:firstLine="720"/>
        <w:jc w:val="both"/>
      </w:pPr>
      <w:r>
        <w:t xml:space="preserve">(p)</w:t>
      </w:r>
      <w:r xml:space="preserve">
        <w:t> </w:t>
      </w:r>
      <w:r xml:space="preserve">
        <w:t> </w:t>
      </w:r>
      <w:r>
        <w:rPr>
          <w:u w:val="single"/>
        </w:rPr>
        <w:t xml:space="preserve">Subsections</w:t>
      </w:r>
      <w:r>
        <w:t xml:space="preserve"> [</w:t>
      </w:r>
      <w:r>
        <w:rPr>
          <w:strike/>
        </w:rPr>
        <w:t xml:space="preserve">Subsection</w:t>
      </w:r>
      <w:r>
        <w:t xml:space="preserve">] (e)</w:t>
      </w:r>
      <w:r>
        <w:rPr>
          <w:u w:val="single"/>
        </w:rPr>
        <w:t xml:space="preserve">, (e-1), and (e-2) do</w:t>
      </w:r>
      <w:r>
        <w:t xml:space="preserve"> [</w:t>
      </w:r>
      <w:r>
        <w:rPr>
          <w:strike/>
        </w:rPr>
        <w:t xml:space="preserve">does</w:t>
      </w:r>
      <w:r>
        <w:t xml:space="preserve">] not apply to a district that is collecting an export fee or surcharge on March 1, 2001.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36.207, Water Code, is amended to read as follows:</w:t>
      </w:r>
    </w:p>
    <w:p w:rsidR="003F3435" w:rsidRDefault="0032493E">
      <w:pPr>
        <w:spacing w:line="480" w:lineRule="auto"/>
        <w:ind w:firstLine="720"/>
        <w:jc w:val="both"/>
      </w:pPr>
      <w:r>
        <w:t xml:space="preserve">Sec.</w:t>
      </w:r>
      <w:r xml:space="preserve">
        <w:t> </w:t>
      </w:r>
      <w:r>
        <w:t xml:space="preserve">36.207.</w:t>
      </w:r>
      <w:r xml:space="preserve">
        <w:t> </w:t>
      </w:r>
      <w:r xml:space="preserve">
        <w:t> </w:t>
      </w:r>
      <w:r>
        <w:t xml:space="preserve">USE OF FEES. </w:t>
      </w:r>
      <w:r>
        <w:t xml:space="preserve"> </w:t>
      </w:r>
      <w:r>
        <w:t xml:space="preserve">A district may use funds obtained from administrative, production, or export fees collected under a special law governing the district or this chapter for any purpose consistent with the district's approved management plan, including, without limitation, making grants, loans, or contractual payments to achieve, facilitate, or expedite reductions in groundwater pumping or the development or distribution of alternative water supplies </w:t>
      </w:r>
      <w:r>
        <w:rPr>
          <w:u w:val="single"/>
        </w:rPr>
        <w:t xml:space="preserve">or to maintain the operability of wells significantly affected by groundwater development to allow for the highest practicable level of groundwater production while achieving the desired future conditions established under Section 36.108</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36.3011, Water Code, is amended by amending Subsection (d) and adding Subsections (d-1), (d-2), (d-3), (e-1), (e-2), and (e-3) to read as follows:</w:t>
      </w:r>
    </w:p>
    <w:p w:rsidR="003F3435" w:rsidRDefault="0032493E">
      <w:pPr>
        <w:spacing w:line="480" w:lineRule="auto"/>
        <w:ind w:firstLine="720"/>
        <w:jc w:val="both"/>
      </w:pPr>
      <w:r>
        <w:t xml:space="preserve">(d)</w:t>
      </w:r>
      <w:r xml:space="preserve">
        <w:t> </w:t>
      </w:r>
      <w:r xml:space="preserve">
        <w:t> </w:t>
      </w:r>
      <w:r>
        <w:t xml:space="preserve">If the petition is not dismissed under Subsection (c), the commission shall appoint a review panel consisting of a chairperson and four other members. </w:t>
      </w:r>
      <w:r>
        <w:t xml:space="preserve"> </w:t>
      </w:r>
      <w:r>
        <w:t xml:space="preserve">A director or general manager of a district located outside the management area that is the subject of the petition may be appointed to the review panel. </w:t>
      </w:r>
      <w:r>
        <w:t xml:space="preserve"> </w:t>
      </w:r>
      <w:r>
        <w:t xml:space="preserve">The commission may not appoint more than two members of the review panel from any one district. </w:t>
      </w:r>
      <w:r>
        <w:t xml:space="preserve"> </w:t>
      </w:r>
      <w:r>
        <w:t xml:space="preserve">The commission also shall appoint a disinterested person to serve as a nonvoting recording secretary for the review panel. </w:t>
      </w:r>
      <w:r>
        <w:t xml:space="preserve"> </w:t>
      </w:r>
      <w:r>
        <w:t xml:space="preserve">The recording secretary </w:t>
      </w:r>
      <w:r>
        <w:rPr>
          <w:u w:val="single"/>
        </w:rPr>
        <w:t xml:space="preserve">shall</w:t>
      </w:r>
      <w:r>
        <w:t xml:space="preserve"> [</w:t>
      </w:r>
      <w:r>
        <w:rPr>
          <w:strike/>
        </w:rPr>
        <w:t xml:space="preserve">may</w:t>
      </w:r>
      <w:r>
        <w:t xml:space="preserve">] be an employee of the commission. </w:t>
      </w:r>
      <w:r>
        <w:t xml:space="preserve"> </w:t>
      </w:r>
      <w:r>
        <w:t xml:space="preserve">The recording secretary shall record and document the proceedings of the panel.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review panel established under Subsection (d) is an advisory body to the commission and not a governmental body under Chapter 551 or 552, Government Code.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commission shall reimburse a member appointed to the review panel for actual expenses incurred while engaging in activities on behalf of the review panel. </w:t>
      </w:r>
      <w:r>
        <w:rPr>
          <w:u w:val="single"/>
        </w:rPr>
        <w:t xml:space="preserve"> </w:t>
      </w:r>
      <w:r>
        <w:rPr>
          <w:u w:val="single"/>
        </w:rPr>
        <w:t xml:space="preserve">To be eligible for reimbursement, the member must file with the executive director a verified statement, including any relevant receipts, describing the expenses incurred. </w:t>
      </w:r>
      <w:r>
        <w:rPr>
          <w:u w:val="single"/>
        </w:rPr>
        <w:t xml:space="preserve"> </w:t>
      </w:r>
      <w:r>
        <w:rPr>
          <w:u w:val="single"/>
        </w:rPr>
        <w:t xml:space="preserve">A member appointed to the review panel is not entitled to a fee of office or other compensation for serving on the review panel.</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records and documents of the recording secretary of the proceedings of the review panel must be provided to the executive director and are public information under Chapter 552, Government Code.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 later than the seventh day before the date of a public meeting or public hearing of the review panel under Subsection (e), the executive director shall provide notice of any public meeting or public hearing the review panel is directed to conduct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notice on the commission's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 mail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that is the subject of the petition;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petitioner;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county clerk of each county in the district that is the subject of the petition.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commission or the review panel may submit a written request to the executive administrator for assistance on a technical issue related to the petition. </w:t>
      </w:r>
      <w:r>
        <w:rPr>
          <w:u w:val="single"/>
        </w:rPr>
        <w:t xml:space="preserve"> </w:t>
      </w:r>
      <w:r>
        <w:rPr>
          <w:u w:val="single"/>
        </w:rPr>
        <w:t xml:space="preserve">The executive administrator shall provide the technical assistance not later than the 120th day after the date the executive administrator receives the request. </w:t>
      </w:r>
      <w:r>
        <w:rPr>
          <w:u w:val="single"/>
        </w:rPr>
        <w:t xml:space="preserve"> </w:t>
      </w:r>
      <w:r>
        <w:rPr>
          <w:u w:val="single"/>
        </w:rPr>
        <w:t xml:space="preserve">A deadline under Subsection (c), (e), or (h) is extended by 120 days if a request for technical assistance is submitted to the executive administrator during a review phase under that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On request from a member of the review panel, the office of public interest counsel of the commission shall provide legal advice and assistance to the review panel. Notwithstanding Section 5.273, the office of public interest counsel: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as a party in an inquiry under this section;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duty or responsibility to represent the public interest or otherwise in an inquiry except as provided by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11.202(d) and (e);</w:t>
      </w:r>
    </w:p>
    <w:p w:rsidR="003F3435" w:rsidRDefault="0032493E">
      <w:pPr>
        <w:spacing w:line="480" w:lineRule="auto"/>
        <w:ind w:firstLine="1440"/>
        <w:jc w:val="both"/>
      </w:pPr>
      <w:r>
        <w:t xml:space="preserve">(2)</w:t>
      </w:r>
      <w:r xml:space="preserve">
        <w:t> </w:t>
      </w:r>
      <w:r xml:space="preserve">
        <w:t> </w:t>
      </w:r>
      <w:r>
        <w:t xml:space="preserve">Section 11.203;</w:t>
      </w:r>
    </w:p>
    <w:p w:rsidR="003F3435" w:rsidRDefault="0032493E">
      <w:pPr>
        <w:spacing w:line="480" w:lineRule="auto"/>
        <w:ind w:firstLine="1440"/>
        <w:jc w:val="both"/>
      </w:pPr>
      <w:r>
        <w:t xml:space="preserve">(3)</w:t>
      </w:r>
      <w:r xml:space="preserve">
        <w:t> </w:t>
      </w:r>
      <w:r xml:space="preserve">
        <w:t> </w:t>
      </w:r>
      <w:r>
        <w:t xml:space="preserve">Section 11.204; and</w:t>
      </w:r>
    </w:p>
    <w:p w:rsidR="003F3435" w:rsidRDefault="0032493E">
      <w:pPr>
        <w:spacing w:line="480" w:lineRule="auto"/>
        <w:ind w:firstLine="1440"/>
        <w:jc w:val="both"/>
      </w:pPr>
      <w:r>
        <w:t xml:space="preserve">(4)</w:t>
      </w:r>
      <w:r xml:space="preserve">
        <w:t> </w:t>
      </w:r>
      <w:r xml:space="preserve">
        <w:t> </w:t>
      </w:r>
      <w:r>
        <w:t xml:space="preserve">Section 11.207.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 later than December 1, 2023, a groundwater conservation district shall adopt rules to implement Section 36.1025, Water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applicable to a petition filed under Section 36.1083, Water Code, apply only to a petition filed under that section on or after the effective date of this Act. A petition filed before the effective date of this Act is governed by the law in effect on the date the hearing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36.1141, Water Code, as added by this Act, applies only to an application for a permit or permit amendment submitted on or after the effective date of this Act. An application submitted before the effective date of this Act is subject to the law in effect on the date the application is submitted,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36.3011, Water Code, as amended by this Act, applies only to a petition requesting an inquiry regarding the duties of a groundwater conservation district filed with the Texas Commission on Environmental Quality on or after the effective date of this Act. </w:t>
      </w:r>
      <w:r>
        <w:t xml:space="preserve"> </w:t>
      </w:r>
      <w:r>
        <w:t xml:space="preserve">A petition filed with the Texas Commission on Environmental Quality before the effective date of this Act is governed by the law in effect on the date the petition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