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162</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w:t>
      </w:r>
      <w:r>
        <w:t xml:space="preserve">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State Affairs; March</w:t>
      </w:r>
      <w:r xml:space="preserve">
        <w:t> </w:t>
      </w:r>
      <w:r>
        <w:t xml:space="preserve">22,</w:t>
      </w:r>
      <w:r xml:space="preserve">
        <w:t> </w:t>
      </w:r>
      <w:r>
        <w:t xml:space="preserve">2023, reported favorably by the following vote:</w:t>
      </w:r>
      <w:r>
        <w:t xml:space="preserve"> </w:t>
      </w:r>
      <w:r>
        <w:t xml:space="preserve"> </w:t>
      </w:r>
      <w:r>
        <w:t xml:space="preserve">Yeas 8, Nays 3; March</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required inclusion of a person's sex on a birth certificate and prohibited change of sex on the birth certificate of certain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child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minor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minor's biological sex as required by Section 192.003(f) and the certificate completes the information by listing the minor's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minor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minor's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