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illegal voting;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64.012(b),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second degree unless the person is convicted of an attempt.  In that case, the offense is a 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