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175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and certain other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state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taxpayer or resident who prevails in an action under Subsection (b) is entitled to recover from the political subdivision the taxpayer's or resident's reasonable attorney's fees and costs incurred in bringing the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 municipality or county using public funds to compensate or contract with an individual required to register as a lobbyist under Chapter 305 for the purpose of influencing or attempting to influence the outcome of legislation related to the military, military service members, or military veterans.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a full-time employee of a nonprofit state association or organization that primarily represents political subdivisions of this state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legislative services, including services related to bill tracking, bill analysis, and legislative alerts;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communicating directly with a member of the legislature to provide information;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testifying for or against legislation before a legislative committee.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