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w:t>
      </w:r>
      <w:r>
        <w:t xml:space="preserve"> </w:t>
      </w:r>
      <w:r>
        <w:t xml:space="preserve">county judge or county commissioner may serve on the governing body of or any committee serving an association of counties</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w:t>
      </w:r>
      <w:r>
        <w:t xml:space="preserve">[</w:t>
      </w:r>
      <w:r>
        <w:rPr>
          <w:strike/>
        </w:rPr>
        <w:t xml:space="preserve">created or operating pursuant to the provisions of Section 89.002</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