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State Affairs;</w:t>
      </w:r>
      <w:r>
        <w:t xml:space="preserve"> March</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8, Nays 3; March</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175</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81.026, Local Government Code, is amended to read as follows:</w:t>
      </w: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89.002</w:t>
      </w:r>
      <w:r>
        <w:rPr>
          <w:u w:val="single"/>
        </w:rPr>
        <w:t xml:space="preserve">, including a nonprofit state association or organization, except that the county judge or county commissioner may not spend public funds to serve on the governing body or committee or to join or otherwise become a member of the association of counties in violation of Section 556.0056, Government Code</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