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prescribed for certain acts of official oppression.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39.03, Penal Code, is amended by amending Subsection (d) and adding Subsections (e), (f), and (g)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otherwise provided by this section, an</w:t>
      </w:r>
      <w:r>
        <w:t xml:space="preserve"> [</w:t>
      </w:r>
      <w:r>
        <w:rPr>
          <w:strike/>
        </w:rPr>
        <w:t xml:space="preserve">An</w:t>
      </w:r>
      <w:r>
        <w:t xml:space="preserve">] offense under this section is a Class A misdemeanor</w:t>
      </w:r>
      <w:r>
        <w:rPr>
          <w:u w:val="single"/>
        </w:rP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w:t>
      </w:r>
      <w:r>
        <w:t xml:space="preserve">[</w:t>
      </w:r>
      <w:r>
        <w:rPr>
          <w:strike/>
        </w:rPr>
        <w:t xml:space="preserve">, except that an</w:t>
      </w:r>
      <w:r>
        <w:t xml:space="preserve">] offense </w:t>
      </w:r>
      <w:r>
        <w:rPr>
          <w:u w:val="single"/>
        </w:rPr>
        <w:t xml:space="preserve">under this section</w:t>
      </w:r>
      <w:r>
        <w:t xml:space="preserve"> is a felony of the third degree if the public servant acted with the intent to impair the accuracy of data reported to the Texas Education Agency through the Public Education Information Management System (PEIMS) described by Sections 48.008 and 48.009, Education Code, under a law requiring that reporting.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felony of the second degree if the public servant, at the time of the commission of the offense, was a peace officer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caused bodily injury to another or threatened another with imminent bodily injury;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while engaging in the conduct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caused serious bodily injury to another;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used or exhibited a deadly weapon.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or both 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