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88R899 BEF-D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Miles</w:t>
      </w:r>
      <w:r xml:space="preserve">
        <w:tab wTab="150" tlc="none" cTlc="0"/>
      </w:r>
      <w:r>
        <w:t xml:space="preserve">S.B.</w:t>
      </w:r>
      <w:r xml:space="preserve">
        <w:t> </w:t>
      </w:r>
      <w:r>
        <w:t xml:space="preserve">No.</w:t>
      </w:r>
      <w:r xml:space="preserve">
        <w:t> </w:t>
      </w:r>
      <w:r>
        <w:t xml:space="preserve">185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retention and required disclosure under the public information law of certain complaints alleging official oppression.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J, Chapter 143, Local Government Code, is amended by adding Section 143.364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143.364.</w:t>
      </w:r>
      <w:r>
        <w:rPr>
          <w:u w:val="single"/>
        </w:rPr>
        <w:t xml:space="preserve"> </w:t>
      </w:r>
      <w:r>
        <w:rPr>
          <w:u w:val="single"/>
        </w:rPr>
        <w:t xml:space="preserve"> </w:t>
      </w:r>
      <w:r>
        <w:rPr>
          <w:u w:val="single"/>
        </w:rPr>
        <w:t xml:space="preserve">RETENTION OF COMPLAINT AGAINST POLICE OFFICER.  (a) </w:t>
      </w:r>
      <w:r>
        <w:rPr>
          <w:u w:val="single"/>
        </w:rPr>
        <w:t xml:space="preserve"> </w:t>
      </w:r>
      <w:r>
        <w:rPr>
          <w:u w:val="single"/>
        </w:rPr>
        <w:t xml:space="preserve">A municipal department employing a police officer against whom is filed a complaint alleging conduct constituting official oppression under Section 39.03, Penal Code,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retain the complaint until at least the fifth anniversary of the date the police officer's employment with the municipality ends;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create an abstract of the complaint to retain indefinitely once the original complaint is destroyed.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discretionary exception to required disclosure provided by Chapter 552, Government Code, does not apply to a complaint or abstract described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prevails over: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any other provision of law;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conflicting provision in an agreement entered into under this subchapter.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does not prohibit the employing municipal department from withholding information contained in a complaint or abstract that is confidential under Section 552.117 or 552.1175, Government Code.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does not prohibit a person from asserting a privacy interest in withholding a complaint or abstract.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174, Local Government Code, is amended by adding Section 174.009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174.009.</w:t>
      </w:r>
      <w:r>
        <w:rPr>
          <w:u w:val="single"/>
        </w:rPr>
        <w:t xml:space="preserve"> </w:t>
      </w:r>
      <w:r>
        <w:rPr>
          <w:u w:val="single"/>
        </w:rPr>
        <w:t xml:space="preserve"> </w:t>
      </w:r>
      <w:r>
        <w:rPr>
          <w:u w:val="single"/>
        </w:rPr>
        <w:t xml:space="preserve">RETENTION OF COMPLAINT AGAINST POLICE OFFICER.  (a)  A department of a political subdivision employing a police officer against whom is filed a complaint alleging conduct constituting official oppression under Section 39.03, Penal Code,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retain the complaint until at least the fifth anniversary of the date the police officer's employment with the political subdivision ends;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create an abstract of the complaint to retain indefinitely once the original complaint is destroyed.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complaint or abstract described by Subsection (a) is public information and is not excepted from required disclosure by Section 552.108, Government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prevails over: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any other provision of law;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conflicting provision in a collective bargaining agreement entered into under this chapter.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552.108(c), Government Code, is amended to read as follows:</w:t>
      </w:r>
    </w:p>
    <w:p w:rsidR="003F3435" w:rsidRDefault="0032493E">
      <w:pPr>
        <w:spacing w:line="480" w:lineRule="auto"/>
        <w:ind w:firstLine="720"/>
        <w:jc w:val="both"/>
      </w:pPr>
      <w:r>
        <w:t xml:space="preserve">(c)</w:t>
      </w:r>
      <w:r xml:space="preserve">
        <w:t> </w:t>
      </w:r>
      <w:r xml:space="preserve">
        <w:t> </w:t>
      </w:r>
      <w:r>
        <w:t xml:space="preserve">This section does not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except from the requirements of Section 552.021 information that is basic information about an arrested person, an arrest, or a crime</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apply to a complaint or abstract described by Section 143.364 or 174.009, Local Government Code, or Section 614.024 of this code that a law enforcement agency or prosecutor uses in the detection, investigation, or prosecution of a crime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B, Chapter 614, Government Code, is amended by adding Section 614.024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614.024.</w:t>
      </w:r>
      <w:r>
        <w:rPr>
          <w:u w:val="single"/>
        </w:rPr>
        <w:t xml:space="preserve"> </w:t>
      </w:r>
      <w:r>
        <w:rPr>
          <w:u w:val="single"/>
        </w:rPr>
        <w:t xml:space="preserve"> </w:t>
      </w:r>
      <w:r>
        <w:rPr>
          <w:u w:val="single"/>
        </w:rPr>
        <w:t xml:space="preserve">RETENTION BY MUNICIPALITIES OF COMPLAINT AGAINST PEACE OFFICER.  (a)  If a municipality receives a complaint against a peace officer employed by the municipality alleging conduct constituting official oppression under Section 39.03, Penal Code, the municipality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retain the complaint until at least the fifth anniversary of the date the peace officer's employment with the municipality ends;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create an abstract of the complaint to retain indefinitely once the original complaint is destroyed.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discretionary exception to required disclosure provided by Chapter 552 does not apply to a complaint or abstract described by Subsection (a).</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143.364(c) and 174.009(c), Local Government Code, as added by this Act, apply only to a contract executed on or after the effective date of this Act.  A contract executed before the effective date of this Act is governed by the law as it existed on the date the contract was executed, and the former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