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88R894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possession or consumption of alcoholic beverages on the premises of certain sexually oriented businesses; creating a criminal offense; providing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105, Alcoholic Beverage Code, is amended to read as follows:</w:t>
      </w:r>
    </w:p>
    <w:p w:rsidR="003F3435" w:rsidRDefault="0032493E">
      <w:pPr>
        <w:spacing w:line="480" w:lineRule="auto"/>
        <w:jc w:val="center"/>
      </w:pPr>
      <w:r>
        <w:t xml:space="preserve">CHAPTER 105. [</w:t>
      </w:r>
      <w:r>
        <w:rPr>
          <w:strike/>
        </w:rPr>
        <w:t xml:space="preserve">HOURS OF</w:t>
      </w:r>
      <w:r>
        <w:t xml:space="preserve">] SALE AND CONSUMPTION </w:t>
      </w:r>
      <w:r>
        <w:rPr>
          <w:u w:val="single"/>
        </w:rPr>
        <w:t xml:space="preserve">OF ALCOHOLIC BEVERAGES; HOURS AND OTHER RESTRICTIONS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105, Alcoholic Beverage Code, is amended by adding Section 105.092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105.092.</w:t>
      </w:r>
      <w:r>
        <w:rPr>
          <w:u w:val="single"/>
        </w:rPr>
        <w:t xml:space="preserve"> </w:t>
      </w:r>
      <w:r>
        <w:rPr>
          <w:u w:val="single"/>
        </w:rPr>
        <w:t xml:space="preserve"> </w:t>
      </w:r>
      <w:r>
        <w:rPr>
          <w:u w:val="single"/>
        </w:rPr>
        <w:t xml:space="preserve">CONSUMPTION AT CERTAIN SEXUALLY ORIENTED BUSINESSES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"Nude"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entirely unclothed;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 oriented business" means a nightclub, bar, restaurant, or similar commercial enterprise that provides for an audience of two or more individuals live nude entertainment or live nude performances.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operates a sexually oriented business that does not hold a permit or license under this code may not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 alcoholic beverages on the business's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 alcoholic beverages onto or possess alcoholic beverages on the business's premises for the purpose of consumption by the person on the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described by Subsection (b) or that person's agent commits an offense if the person or that person's agent allows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 alcoholic beverages on the business's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 alcoholic beverages onto or possess alcoholic beverages on the business's premises for the purpose of consumption by the person on the premises.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first offense under this section is a Class A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it is shown on the trial of an offense under this section that the person has previously been finally convicted of one offense under this section, on conviction the person shall be punished for a state jail felony.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it is shown on the trial of an offense under this section that the person has previously been finally convicted of two or more offenses under this section, on conviction the person shall be punished for a third degree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