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88R744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governing body of a taxing unit to adopt an exemption from ad valorem taxation of a portion, expressed as a dollar amount, of the appraised value of an individual's residence homestead.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 (i) and adding Subsection (n-1)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or (n-1)</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The governing body of a taxing unit, in the manner provided by law for official action by the body, may adopt an exemption from taxation by the taxing unit of a portion, expressed as a dollar amount, of the appraised value of an individual's residence homestead. </w:t>
      </w:r>
      <w:r>
        <w:rPr>
          <w:u w:val="single"/>
        </w:rPr>
        <w:t xml:space="preserve"> </w:t>
      </w:r>
      <w:r>
        <w:rPr>
          <w:u w:val="single"/>
        </w:rPr>
        <w:t xml:space="preserve">The exemption must be adopted by the governing body before July 1 of the tax year in which the exemption applies.  If the governing body adopts an exemption under this subsection, the amount of the exemption in a tax year may not be less than $5,000.  An individual is entitled to an exemption adopted under this subsection in addition to any other exemptions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45.006(f),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governing body of a school district that adopts a tax rate that exceeds $1.50 per $100 valuation of taxable property may set the amount of the exemption from taxation authorized by Section 11.13(n) </w:t>
      </w:r>
      <w:r>
        <w:rPr>
          <w:u w:val="single"/>
        </w:rPr>
        <w:t xml:space="preserve">or (n-1)</w:t>
      </w:r>
      <w:r>
        <w:t xml:space="preserve">, Tax Code, at any time before the date the governing body adopts the district's tax rate for the tax year in which the election approving the additional taxes is held.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48.259(a),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any school year, the commissioner may not provide funding under this chapter or Chapter 46 based on a school district's taxable value of property computed in accordance with Section 403.302(d)(2), Government Code, unless:</w:t>
      </w:r>
    </w:p>
    <w:p w:rsidR="003F3435" w:rsidRDefault="0032493E">
      <w:pPr>
        <w:spacing w:line="480" w:lineRule="auto"/>
        <w:ind w:firstLine="1440"/>
        <w:jc w:val="both"/>
      </w:pPr>
      <w:r>
        <w:t xml:space="preserve">(1)</w:t>
      </w:r>
      <w:r xml:space="preserve">
        <w:t> </w:t>
      </w:r>
      <w:r xml:space="preserve">
        <w:t> </w:t>
      </w:r>
      <w:r>
        <w:t xml:space="preserve">funds are specifically appropriated for purposes of this section; or</w:t>
      </w:r>
    </w:p>
    <w:p w:rsidR="003F3435" w:rsidRDefault="0032493E">
      <w:pPr>
        <w:spacing w:line="480" w:lineRule="auto"/>
        <w:ind w:firstLine="1440"/>
        <w:jc w:val="both"/>
      </w:pPr>
      <w:r>
        <w:t xml:space="preserve">(2)</w:t>
      </w:r>
      <w:r xml:space="preserve">
        <w:t> </w:t>
      </w:r>
      <w:r xml:space="preserve">
        <w:t> </w:t>
      </w:r>
      <w:r>
        <w:t xml:space="preserve">the commissioner determines that the total amount of state funds appropriated for purposes of the Foundation School Program for the school year exceeds the amount of state funds distributed to school districts in accordance with Section 48.266 based on the taxable values of property in school districts computed in accordance with Section 403.302(d), Government Code, without any deduction for residence homestead exemptions granted under Section 11.13(n) </w:t>
      </w:r>
      <w:r>
        <w:rPr>
          <w:u w:val="single"/>
        </w:rPr>
        <w:t xml:space="preserve">or (n-1)</w:t>
      </w:r>
      <w:r>
        <w:t xml:space="preserve">,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403.302(d),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w:t>
      </w:r>
      <w:r>
        <w:rPr>
          <w:u w:val="single"/>
        </w:rPr>
        <w:t xml:space="preserve">or (n-1)</w:t>
      </w:r>
      <w:r>
        <w:t xml:space="preserve">,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25.23(a), Tax Code, is amended to read as follows:</w:t>
      </w:r>
    </w:p>
    <w:p w:rsidR="003F3435" w:rsidRDefault="0032493E">
      <w:pPr>
        <w:spacing w:line="480" w:lineRule="auto"/>
        <w:ind w:firstLine="720"/>
        <w:jc w:val="both"/>
      </w:pPr>
      <w:r>
        <w:t xml:space="preserve">(a)</w:t>
      </w:r>
      <w:r xml:space="preserve">
        <w:t> </w:t>
      </w:r>
      <w:r xml:space="preserve">
        <w:t> </w:t>
      </w:r>
      <w:r>
        <w:t xml:space="preserve">After submission of appraisal records, the chief appraiser shall prepare supplemental appraisal records listing:</w:t>
      </w:r>
    </w:p>
    <w:p w:rsidR="003F3435" w:rsidRDefault="0032493E">
      <w:pPr>
        <w:spacing w:line="480" w:lineRule="auto"/>
        <w:ind w:firstLine="1440"/>
        <w:jc w:val="both"/>
      </w:pPr>
      <w:r>
        <w:t xml:space="preserve">(1)</w:t>
      </w:r>
      <w:r xml:space="preserve">
        <w:t> </w:t>
      </w:r>
      <w:r xml:space="preserve">
        <w:t> </w:t>
      </w:r>
      <w:r>
        <w:t xml:space="preserve">each taxable property the chief appraiser discovers that is not included in the records already submitted, including property that was omitted from an appraisal roll in a prior tax year;</w:t>
      </w:r>
    </w:p>
    <w:p w:rsidR="003F3435" w:rsidRDefault="0032493E">
      <w:pPr>
        <w:spacing w:line="480" w:lineRule="auto"/>
        <w:ind w:firstLine="1440"/>
        <w:jc w:val="both"/>
      </w:pPr>
      <w:r>
        <w:t xml:space="preserve">(2)</w:t>
      </w:r>
      <w:r xml:space="preserve">
        <w:t> </w:t>
      </w:r>
      <w:r xml:space="preserve">
        <w:t> </w:t>
      </w:r>
      <w:r>
        <w:t xml:space="preserve">property on which the appraisal review board has not determined a protest at the time of its approval of the appraisal records; and</w:t>
      </w:r>
    </w:p>
    <w:p w:rsidR="003F3435" w:rsidRDefault="0032493E">
      <w:pPr>
        <w:spacing w:line="480" w:lineRule="auto"/>
        <w:ind w:firstLine="1440"/>
        <w:jc w:val="both"/>
      </w:pPr>
      <w:r>
        <w:t xml:space="preserve">(3)</w:t>
      </w:r>
      <w:r xml:space="preserve">
        <w:t> </w:t>
      </w:r>
      <w:r xml:space="preserve">
        <w:t> </w:t>
      </w:r>
      <w:r>
        <w:t xml:space="preserve">property that qualifies for an exemption under Section 11.13(n) </w:t>
      </w:r>
      <w:r>
        <w:rPr>
          <w:u w:val="single"/>
        </w:rPr>
        <w:t xml:space="preserve">or (n-1)</w:t>
      </w:r>
      <w:r>
        <w:t xml:space="preserve"> that was adopted by the governing body of a taxing unit after the date the appraisal records were submitted.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 but only if the constitutional amendment proposed by the 88th Legislature, Regular Session, 2023, authorizing the governing body of a political subdivision to adopt an exemption from ad valorem taxation of a portion, expressed as a dollar amount, of the market value of an individual's residence homestead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