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damages resulting from the condemnation of property that is subject to a conservation easement.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21.041, Property Code, is amended to read as follows:</w:t>
      </w:r>
    </w:p>
    <w:p w:rsidR="003F3435" w:rsidRDefault="0032493E">
      <w:pPr>
        <w:spacing w:line="480" w:lineRule="auto"/>
        <w:ind w:firstLine="720"/>
        <w:jc w:val="both"/>
      </w:pPr>
      <w:r>
        <w:t xml:space="preserve">Sec.</w:t>
      </w:r>
      <w:r xml:space="preserve">
        <w:t> </w:t>
      </w:r>
      <w:r>
        <w:t xml:space="preserve">21.041.</w:t>
      </w:r>
      <w:r xml:space="preserve">
        <w:t> </w:t>
      </w:r>
      <w:r xml:space="preserve">
        <w:t> </w:t>
      </w:r>
      <w:r>
        <w:t xml:space="preserve">EVIDENCE. </w:t>
      </w:r>
      <w:r>
        <w:t xml:space="preserve"> </w:t>
      </w:r>
      <w:r>
        <w:t xml:space="preserve">As the basis for assessing actual damages to a property owner from a condemnation, the special commissioners shall admit evidence on:</w:t>
      </w:r>
    </w:p>
    <w:p w:rsidR="003F3435" w:rsidRDefault="0032493E">
      <w:pPr>
        <w:spacing w:line="480" w:lineRule="auto"/>
        <w:ind w:firstLine="1440"/>
        <w:jc w:val="both"/>
      </w:pPr>
      <w:r>
        <w:t xml:space="preserve">(1)</w:t>
      </w:r>
      <w:r xml:space="preserve">
        <w:t> </w:t>
      </w:r>
      <w:r xml:space="preserve">
        <w:t> </w:t>
      </w:r>
      <w:r>
        <w:t xml:space="preserve">the value of the property being condemned;</w:t>
      </w:r>
    </w:p>
    <w:p w:rsidR="003F3435" w:rsidRDefault="0032493E">
      <w:pPr>
        <w:spacing w:line="480" w:lineRule="auto"/>
        <w:ind w:firstLine="1440"/>
        <w:jc w:val="both"/>
      </w:pPr>
      <w:r>
        <w:t xml:space="preserve">(2)</w:t>
      </w:r>
      <w:r xml:space="preserve">
        <w:t> </w:t>
      </w:r>
      <w:r xml:space="preserve">
        <w:t> </w:t>
      </w:r>
      <w:r>
        <w:t xml:space="preserve">the injury to the property owner;</w:t>
      </w:r>
    </w:p>
    <w:p w:rsidR="003F3435" w:rsidRDefault="0032493E">
      <w:pPr>
        <w:spacing w:line="480" w:lineRule="auto"/>
        <w:ind w:firstLine="1440"/>
        <w:jc w:val="both"/>
      </w:pPr>
      <w:r>
        <w:t xml:space="preserve">(3)</w:t>
      </w:r>
      <w:r xml:space="preserve">
        <w:t> </w:t>
      </w:r>
      <w:r xml:space="preserve">
        <w:t> </w:t>
      </w:r>
      <w:r>
        <w:t xml:space="preserve">the benefit to the property owner's remaining property;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use of the property for the purpose of the condemnation</w:t>
      </w:r>
      <w:r>
        <w:rPr>
          <w:u w:val="single"/>
        </w:rPr>
        <w:t xml:space="preserv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property is subject to a conservation easement created under Chapter 183, Natural Resources Code, the local market value of the property based on the property's highest and best use without consideration of the property's conservation easement status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21, Property Code, is amended by adding Section 21.0422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21.0422.</w:t>
      </w:r>
      <w:r>
        <w:rPr>
          <w:u w:val="single"/>
        </w:rPr>
        <w:t xml:space="preserve"> </w:t>
      </w:r>
      <w:r>
        <w:rPr>
          <w:u w:val="single"/>
        </w:rPr>
        <w:t xml:space="preserve"> </w:t>
      </w:r>
      <w:r>
        <w:rPr>
          <w:u w:val="single"/>
        </w:rPr>
        <w:t xml:space="preserve">ASSESSMENT OF DAMAGES: CONSERVATION EASEMENTS. </w:t>
      </w:r>
      <w:r>
        <w:rPr>
          <w:u w:val="single"/>
        </w:rPr>
        <w:t xml:space="preserve"> </w:t>
      </w:r>
      <w:r>
        <w:rPr>
          <w:u w:val="single"/>
        </w:rPr>
        <w:t xml:space="preserve">(a) </w:t>
      </w:r>
      <w:r>
        <w:rPr>
          <w:u w:val="single"/>
        </w:rPr>
        <w:t xml:space="preserve"> </w:t>
      </w:r>
      <w:r>
        <w:rPr>
          <w:u w:val="single"/>
        </w:rPr>
        <w:t xml:space="preserve">Notwithstanding Section 21.042(b), if an entire tract or parcel that is subject to a conservation easement created under Chapter 183, Natural Resources Code, is condemned, the damage to the property owner is an amount equal to the local market value of the property based on the property's highest and best use without consideration of the property's conservation easement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21.042(c), if a portion of a tract or parcel that is subject to a conservation easement created under Chapter 183, Natural Resources Code, is condemned, the special commissioners shall determine the damage to the property owner after estimating the extent of the injury and benefit to the property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property's highest and best use without consideration of the property's conservation easement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including the effect of the condemnation on the value of the property owner's remaining property, based on the remaining property's highest and best use without consideration of the remaining property's conservation easement status.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condemnation proceeding commenced on or after the effective date of this Act.</w:t>
      </w:r>
      <w:r xml:space="preserve">
        <w:t> </w:t>
      </w:r>
      <w:r xml:space="preserve">
        <w:t> </w:t>
      </w:r>
      <w:r>
        <w:t xml:space="preserve">A condemnation proceeding commenced before the effective date of this Act is governed by the law applicable to the condemnation proceeding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