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88R394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and registration of certain voters convicted of a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11.002(a),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code, "qualified voter" means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has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not been finally convicted of a felony or, if so convicted, </w:t>
      </w:r>
      <w:r>
        <w:rPr>
          <w:u w:val="single"/>
        </w:rPr>
        <w:t xml:space="preserve">is not currently incarcerated for that offense</w:t>
      </w:r>
      <w:r>
        <w:t xml:space="preserve"> [</w:t>
      </w:r>
      <w:r>
        <w:rPr>
          <w:strike/>
        </w:rPr>
        <w:t xml:space="preserve">has: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been pardoned or otherwise released from the resulting disability to vote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 resident of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a registered voter.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for registration as a voter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not have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not have been finally convicted of a felony or, if so convicted, must </w:t>
      </w:r>
      <w:r>
        <w:rPr>
          <w:u w:val="single"/>
        </w:rPr>
        <w:t xml:space="preserve">not currently be incarcerated for that offense</w:t>
      </w:r>
      <w:r>
        <w:t xml:space="preserve"> [</w:t>
      </w:r>
      <w:r>
        <w:rPr>
          <w:strike/>
        </w:rPr>
        <w:t xml:space="preserve">have: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been pardoned or otherwise released from the resulting disability to vote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be a resident of the county in which application for registration is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