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petitions requesting an election and ballot propositions and to related procedures and provisions.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52.072,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proposition must substantially submit the question with such definiteness, certainty, and facial neutrality that the voters are not misled.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233, Election Code, is amended by adding Section 233.0115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233.0115.</w:t>
      </w:r>
      <w:r>
        <w:rPr>
          <w:u w:val="single"/>
        </w:rPr>
        <w:t xml:space="preserve"> </w:t>
      </w:r>
      <w:r>
        <w:rPr>
          <w:u w:val="single"/>
        </w:rPr>
        <w:t xml:space="preserve"> </w:t>
      </w:r>
      <w:r>
        <w:rPr>
          <w:u w:val="single"/>
        </w:rPr>
        <w:t xml:space="preserve">BALLOT LANGUAGE MANDAMUS ACTION.  If a court orders a new election under Section 233.011, a person may seek from the court a writ of mandamus to compel the governing body of a city to comply with the requirement that a ballot proposition must substantially submit the question with such definiteness, certainty, and facial neutrality that the voters are not misled, as provided by Section 273.102.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253.094(b), Election Code, is amended to read as follows:</w:t>
      </w:r>
    </w:p>
    <w:p w:rsidR="003F3435" w:rsidRDefault="0032493E">
      <w:pPr>
        <w:spacing w:line="480" w:lineRule="auto"/>
        <w:ind w:firstLine="720"/>
        <w:jc w:val="both"/>
      </w:pPr>
      <w:r>
        <w:t xml:space="preserve">(b)</w:t>
      </w:r>
      <w:r xml:space="preserve">
        <w:t> </w:t>
      </w:r>
      <w:r xml:space="preserve">
        <w:t> </w:t>
      </w:r>
      <w:r>
        <w:t xml:space="preserve">A corporation or labor organization may not make a political contribution in connection with a recall election, including the circulation and submission of a petition to call an election.  </w:t>
      </w:r>
      <w:r>
        <w:rPr>
          <w:u w:val="single"/>
        </w:rPr>
        <w:t xml:space="preserve">This subsection does not prohibit a religious organization from circulating or submitting a petition in connection with a recall 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BALLOT PROPOSITION LANGUAGE ENFORCEMENT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REVIEW BY SECRETARY OF STATE.  (a)  Not later than the seventh day after the date on which a home-rule city publishes in the election order or by other means ballot proposition language proposing an amendment to the city charter or a voter-initiated initiative or referendum as requested by petition, a registered voter eligible to vote in the election may submit the proposition for review by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review the proposition not later than the seventh day after the date the secretary receives the submission to determine whether the proposition is misleading, inaccurate, or prejudicial.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determines that the proposition is misleading, inaccurate, or prejudicial, the city shall draft a proposition to cure the defects and give notice of the new proposition using the method of giving notice prescribed for notice of an election under Section 4.003.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proposition drafted by a city under Subsection (c) to cure the defects may be submitted to the secretary of state under Subsection (a).  If the secretary of state determines that the city has on its third attempt drafted a proposition that is misleading, inaccurate, or prejudicial, the secretary of state shall draft the ballot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273.102.</w:t>
      </w:r>
      <w:r>
        <w:rPr>
          <w:u w:val="single"/>
        </w:rPr>
        <w:t xml:space="preserve"> </w:t>
      </w:r>
      <w:r>
        <w:rPr>
          <w:u w:val="single"/>
        </w:rPr>
        <w:t xml:space="preserve"> </w:t>
      </w:r>
      <w:r>
        <w:rPr>
          <w:u w:val="single"/>
        </w:rPr>
        <w:t xml:space="preserve">MANDAMUS ACTIONS.  (a)  In an action in a court of competent jurisdiction seeking a writ of mandamus to compel the city's governing body to comply with the requirement that a ballot proposition must substantially submit the question with such definiteness, certainty, and facial neutrality that the voters are not misled, the court shall make its determination without delay and may order the city to use ballot proposition language drafted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award a plaintiff or relator who substantially prevails in a mandamus action described by Subsection (a) the party's reasonable attorney's fees, expenses, and court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to suit is waived and abolished only to the extent of the liability created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273.103.</w:t>
      </w:r>
      <w:r>
        <w:rPr>
          <w:u w:val="single"/>
        </w:rPr>
        <w:t xml:space="preserve"> </w:t>
      </w:r>
      <w:r>
        <w:rPr>
          <w:u w:val="single"/>
        </w:rPr>
        <w:t xml:space="preserve"> </w:t>
      </w:r>
      <w:r>
        <w:rPr>
          <w:u w:val="single"/>
        </w:rPr>
        <w:t xml:space="preserve">MANDATORY SUBMISSION TO SECRETARY OF STATE.  Following a final nonappealable judgment containing a finding by a court that a ballot proposition drafted by a city failed to substantially submit the question with such definiteness, certainty, and facial neutrality that the voters are not misled, the city shall submit to the secretary of state for approval any proposition to be voted on at an election held by the city before the fourth anniversary of the court's finding.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273.104.</w:t>
      </w:r>
      <w:r>
        <w:rPr>
          <w:u w:val="single"/>
        </w:rPr>
        <w:t xml:space="preserve"> </w:t>
      </w:r>
      <w:r>
        <w:rPr>
          <w:u w:val="single"/>
        </w:rPr>
        <w:t xml:space="preserve"> </w:t>
      </w:r>
      <w:r>
        <w:rPr>
          <w:u w:val="single"/>
        </w:rPr>
        <w:t xml:space="preserve">CITY REQUIRED TO PAY FOR LEGAL SERVICES.  Notwithstanding a home-rule city charter provision to the contrary, a city may not accept legal services relating to a proceeding under this subchapter without paying fair market value for those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277, Election Code, is amended by designating Sections 277.001, 277.002, 277.0021, 277.0022, 277.0023, 277.0024, and 277.003 as Subchapter A and adding a subchapter heading to read as follows:</w:t>
      </w:r>
    </w:p>
    <w:p w:rsidR="003F3435" w:rsidRDefault="0032493E">
      <w:pPr>
        <w:spacing w:line="480" w:lineRule="auto"/>
        <w:jc w:val="center"/>
      </w:pPr>
      <w:r>
        <w:rPr>
          <w:u w:val="single"/>
        </w:rPr>
        <w:t xml:space="preserve">SUBCHAPTER A.  PROVISIONS RELATING TO SIGNATURES, VALIDITY, AND VERIFICATION OF PETITIONS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277.001, Election Code, is amended to read as follows:</w:t>
      </w:r>
    </w:p>
    <w:p w:rsidR="003F3435" w:rsidRDefault="0032493E">
      <w:pPr>
        <w:spacing w:line="480" w:lineRule="auto"/>
        <w:ind w:firstLine="720"/>
        <w:jc w:val="both"/>
      </w:pPr>
      <w:r>
        <w:t xml:space="preserve">Sec.</w:t>
      </w:r>
      <w:r xml:space="preserve">
        <w:t> </w:t>
      </w:r>
      <w:r>
        <w:t xml:space="preserve">277.001.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to a petition authorized or required to be filed under a law outside this code in connection with an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277.002,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illegibility of a signature on a petition submitted to a home-rule city is not a valid basis for invalidating the signature if the information provided with the signature as required by this section and other applicable law legibly provides enough information to demonstrate that the signer: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 have signed the petition;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signed the petition on or after the 180th day before the date the petition was filed.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277, Election Code, as added by this Act, is amended by adding Section 277.005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277.005.</w:t>
      </w:r>
      <w:r>
        <w:rPr>
          <w:u w:val="single"/>
        </w:rPr>
        <w:t xml:space="preserve"> </w:t>
      </w:r>
      <w:r>
        <w:rPr>
          <w:u w:val="single"/>
        </w:rPr>
        <w:t xml:space="preserve"> </w:t>
      </w:r>
      <w:r>
        <w:rPr>
          <w:u w:val="single"/>
        </w:rPr>
        <w:t xml:space="preserve">PETITION FORM; USE BY CITY AND OTHER PERSONS.  (a)  The secretary of state shall prescribe a form, content, and procedure for a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home-rule city that uses a form that is different from the official form prescribed under Subsection (a) may not invalidate a petition because the petition does not contain information that the petition form failed to provide for or to require to be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circulates or submits a petition is not required to use a petition form prescribed by the secretary of state or a home-rule city.  A petition that does not use an officially prescribed form must contain the substantial elements required to be provided on the officially prescribed form.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277, Election Code, is amended by adding Subchapter B to read as follows:</w:t>
      </w:r>
    </w:p>
    <w:p w:rsidR="003F3435" w:rsidRDefault="0032493E">
      <w:pPr>
        <w:spacing w:line="480" w:lineRule="auto"/>
        <w:jc w:val="center"/>
      </w:pPr>
      <w:r>
        <w:rPr>
          <w:u w:val="single"/>
        </w:rPr>
        <w:t xml:space="preserve">SUBCHAPTER B.  SUBMISSION OF CERTAIN CITY PETITIONS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277.031.</w:t>
      </w:r>
      <w:r>
        <w:rPr>
          <w:u w:val="single"/>
        </w:rPr>
        <w:t xml:space="preserve"> </w:t>
      </w:r>
      <w:r>
        <w:rPr>
          <w:u w:val="single"/>
        </w:rPr>
        <w:t xml:space="preserve"> </w:t>
      </w:r>
      <w:r>
        <w:rPr>
          <w:u w:val="single"/>
        </w:rPr>
        <w:t xml:space="preserve">APPLICABILITY OF SUBCHAPTER.  This subchapter applies to a home-rule city that has a procedure requiring the governing body of the city to hold an election on receipt of a petition requesting the election that complies with the applicable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277.032.</w:t>
      </w:r>
      <w:r>
        <w:rPr>
          <w:u w:val="single"/>
        </w:rPr>
        <w:t xml:space="preserve"> </w:t>
      </w:r>
      <w:r>
        <w:rPr>
          <w:u w:val="single"/>
        </w:rPr>
        <w:t xml:space="preserve"> </w:t>
      </w:r>
      <w:r>
        <w:rPr>
          <w:u w:val="single"/>
        </w:rPr>
        <w:t xml:space="preserve">CONFLICTS WITH CITY CHARTER OR OTHER LAW.  The provisions of this subchapter apply notwithstanding any city charter provision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277.033.</w:t>
      </w:r>
      <w:r>
        <w:rPr>
          <w:u w:val="single"/>
        </w:rPr>
        <w:t xml:space="preserve"> </w:t>
      </w:r>
      <w:r>
        <w:rPr>
          <w:u w:val="single"/>
        </w:rPr>
        <w:t xml:space="preserve"> </w:t>
      </w:r>
      <w:r>
        <w:rPr>
          <w:u w:val="single"/>
        </w:rPr>
        <w:t xml:space="preserve">DETERMINATION OF VALIDITY.  The city secretary shall determine the validity of a petition submitted under this subchapter, including by verifying the petition signatures, not later than the 30th day after the date the city receives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277.034.</w:t>
      </w:r>
      <w:r>
        <w:rPr>
          <w:u w:val="single"/>
        </w:rPr>
        <w:t xml:space="preserve"> </w:t>
      </w:r>
      <w:r>
        <w:rPr>
          <w:u w:val="single"/>
        </w:rPr>
        <w:t xml:space="preserve"> </w:t>
      </w:r>
      <w:r>
        <w:rPr>
          <w:u w:val="single"/>
        </w:rPr>
        <w:t xml:space="preserve">COLLECTOR REQUIREMENTS PROHIBITED.  A city may not restrict who may collect petition signatures.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9.004(a)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w:t>
      </w:r>
      <w:r>
        <w:rPr>
          <w:u w:val="single"/>
        </w:rPr>
        <w:t xml:space="preserve">registered</w:t>
      </w:r>
      <w:r>
        <w:t xml:space="preserve"> [</w:t>
      </w:r>
      <w:r>
        <w:rPr>
          <w:strike/>
        </w:rPr>
        <w:t xml:space="preserve">qualified</w:t>
      </w:r>
      <w:r>
        <w:t xml:space="preserve">] voters of the municipality equal to at least five percent of the number of </w:t>
      </w:r>
      <w:r>
        <w:rPr>
          <w:u w:val="single"/>
        </w:rPr>
        <w:t xml:space="preserve">registered</w:t>
      </w:r>
      <w:r>
        <w:t xml:space="preserve"> [</w:t>
      </w:r>
      <w:r>
        <w:rPr>
          <w:strike/>
        </w:rPr>
        <w:t xml:space="preserve">qualified</w:t>
      </w:r>
      <w:r>
        <w:t xml:space="preserve">] voters of the municipality </w:t>
      </w:r>
      <w:r>
        <w:rPr>
          <w:u w:val="single"/>
        </w:rPr>
        <w:t xml:space="preserve">on the date of the most recent election held throughout the municipality</w:t>
      </w:r>
      <w:r>
        <w:t xml:space="preserve"> or 20,000, whichever number is the smaller.</w:t>
      </w:r>
    </w:p>
    <w:p w:rsidR="003F3435" w:rsidRDefault="0032493E">
      <w:pPr>
        <w:spacing w:line="480" w:lineRule="auto"/>
        <w:ind w:firstLine="720"/>
        <w:jc w:val="both"/>
      </w:pPr>
      <w:r>
        <w:t xml:space="preserve">(c)</w:t>
      </w:r>
      <w:r xml:space="preserve">
        <w:t> </w:t>
      </w:r>
      <w:r xml:space="preserve">
        <w:t> </w:t>
      </w:r>
      <w:r>
        <w:t xml:space="preserve">Notice of the election shall be published in a newspaper of general circulation published in the municipality.  The notice must:</w:t>
      </w:r>
    </w:p>
    <w:p w:rsidR="003F3435" w:rsidRDefault="0032493E">
      <w:pPr>
        <w:spacing w:line="480" w:lineRule="auto"/>
        <w:ind w:firstLine="1440"/>
        <w:jc w:val="both"/>
      </w:pPr>
      <w:r>
        <w:t xml:space="preserve">(1)</w:t>
      </w:r>
      <w:r xml:space="preserve">
        <w:t> </w:t>
      </w:r>
      <w:r xml:space="preserve">
        <w:t> </w:t>
      </w:r>
      <w:r>
        <w:t xml:space="preserve">include a substantial copy of the proposed amendment </w:t>
      </w:r>
      <w:r>
        <w:rPr>
          <w:u w:val="single"/>
        </w:rPr>
        <w:t xml:space="preserve">in which language sought to be deleted by the amendment is bracketed and stricken through and language sought to be added by the amendment is underlined</w:t>
      </w:r>
      <w:r>
        <w:t xml:space="preserve">;</w:t>
      </w:r>
    </w:p>
    <w:p w:rsidR="003F3435" w:rsidRDefault="0032493E">
      <w:pPr>
        <w:spacing w:line="480" w:lineRule="auto"/>
        <w:ind w:firstLine="1440"/>
        <w:jc w:val="both"/>
      </w:pPr>
      <w:r>
        <w:t xml:space="preserve">(2)</w:t>
      </w:r>
      <w:r xml:space="preserve">
        <w:t> </w:t>
      </w:r>
      <w:r xml:space="preserve">
        <w:t> </w:t>
      </w:r>
      <w:r>
        <w:t xml:space="preserve">include an estimate of the anticipated fiscal impact to the municipality if the proposed amendment is approved at the election; and</w:t>
      </w:r>
    </w:p>
    <w:p w:rsidR="003F3435" w:rsidRDefault="0032493E">
      <w:pPr>
        <w:spacing w:line="480" w:lineRule="auto"/>
        <w:ind w:firstLine="1440"/>
        <w:jc w:val="both"/>
      </w:pPr>
      <w:r>
        <w:t xml:space="preserve">(3)</w:t>
      </w:r>
      <w:r xml:space="preserve">
        <w:t> </w:t>
      </w:r>
      <w:r xml:space="preserve">
        <w:t> </w:t>
      </w:r>
      <w:r>
        <w:t xml:space="preserve">be published on the same day in each of two successive weeks, with the first publication occurring before the 14th day before the date of the election.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277.004, Election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January 1, 2024, the secretary of state shall adopt a petition form as required by Section 277.005, Election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petition submitted on or after January 1, 2024.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