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green stormwater infrastructure in new state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2166, Government Code, is amended to read as follows:</w:t>
      </w:r>
    </w:p>
    <w:p w:rsidR="003F3435" w:rsidRDefault="0032493E">
      <w:pPr>
        <w:spacing w:line="480" w:lineRule="auto"/>
        <w:jc w:val="center"/>
      </w:pPr>
      <w:r>
        <w:t xml:space="preserve">SUBCHAPTER I.  </w:t>
      </w:r>
      <w:r>
        <w:rPr>
          <w:u w:val="single"/>
        </w:rPr>
        <w:t xml:space="preserve">ENVIRONMENTAL</w:t>
      </w:r>
      <w:r>
        <w:t xml:space="preserve"> CONSERVATION </w:t>
      </w:r>
      <w:r>
        <w:rPr>
          <w:u w:val="single"/>
        </w:rPr>
        <w:t xml:space="preserve">AND PROTECTION</w:t>
      </w:r>
      <w:r>
        <w:t xml:space="preserve"> [</w:t>
      </w:r>
      <w:r>
        <w:rPr>
          <w:strike/>
        </w:rPr>
        <w:t xml:space="preserve">OF ENERGY AND WATER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2166, Government Code, is amended by adding Section 2166.409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2166.409.</w:t>
      </w:r>
      <w:r>
        <w:rPr>
          <w:u w:val="single"/>
        </w:rPr>
        <w:t xml:space="preserve"> </w:t>
      </w:r>
      <w:r>
        <w:rPr>
          <w:u w:val="single"/>
        </w:rPr>
        <w:t xml:space="preserve"> </w:t>
      </w:r>
      <w:r>
        <w:rPr>
          <w:u w:val="single"/>
        </w:rPr>
        <w:t xml:space="preserve">GREEN STORMWATER INFRASTRUCTURE IN NEW BUILDING CONSTRUCTION.  (a)  In this section, "green stormwater infrastructure" means infrastructure that absorbs and treats rainwater in order to limit erosion, habitat damage, property damage, and water pollution caused by flooding and to protect water quality, including rain gardens, bioswales, permeable pavement, green roofs and walls, and rain barrels.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the construction of a new state building, including a building project otherwise exempt from this chapter under Section 2166.003.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the governing body of the appropriate agency that is undertaking a building project otherwise exempt from this chapter under Section 2166.003, shall use green stormwater infrastructure in the construction of a state building.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