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88R2566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233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offense of manslaughter; increasing the criminal penalty for certain offenders.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19.04, Penal Code,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second degree</w:t>
      </w:r>
      <w:r>
        <w:rPr>
          <w:u w:val="single"/>
        </w:rPr>
        <w:t xml:space="preserve">, except that an offense is a felony of the first degree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actor delivered a controlled substance, simulated controlled substance, or dangerous drug to the individual in violation of Chapter 481, 482, or 483,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controlled substance, simulated controlled substance, or dangerous drug as delivered consisted wholly or partly of a substance listed in Section  481.102(1), (2), (3), or (4) or Section 481.1022, Health and Safety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individual consumed the controlled substance, simulated controlled substance, or dangerous drug without altering the substance or drug;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individual's death resulted from the consumption of the controlled substance, simulated controlled substance, or dangerous drug</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enhancement of the penalty under Subsection (b) for a death caused by the consumption of a controlled substance or dangerous drug does not apply to an actor who prescribed, dispensed, or administered a controlled substance or dangerous drug during the ordinary course of medical treatment of a patient for legitimate medical purposes.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w:t>
      </w:r>
      <w:r xml:space="preserve">
        <w:t> </w:t>
      </w:r>
      <w:r xml:space="preserve">
        <w:t> </w:t>
      </w:r>
      <w:r>
        <w:t xml:space="preserve">An offense committed before the effective date of this Act is governed by the law in effect on the date the offense was committed, and the former law is continued in effect for that purpose.</w:t>
      </w:r>
      <w:r xml:space="preserve">
        <w:t> </w:t>
      </w:r>
      <w:r xml:space="preserve">
        <w:t> </w:t>
      </w:r>
      <w:r>
        <w:t xml:space="preserve">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