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247</w:t>
      </w:r>
    </w:p>
    <w:p w:rsidR="003F3435" w:rsidRDefault="0032493E">
      <w:pPr>
        <w:ind w:firstLine="720"/>
        <w:jc w:val="both"/>
      </w:pPr>
      <w:r>
        <w:t xml:space="preserve">(Perez)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specialty license plates issued for honorary consuls.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502.410(b),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does not apply to a statement or application filed or given under Section 502.060, 502.092, 502.093, 502.094, 502.095, 504.201, 504.202(b-1), </w:t>
      </w:r>
      <w:r>
        <w:rPr>
          <w:u w:val="single"/>
        </w:rPr>
        <w:t xml:space="preserve">or</w:t>
      </w:r>
      <w:r>
        <w:t xml:space="preserve"> 504.508[</w:t>
      </w:r>
      <w:r>
        <w:rPr>
          <w:strike/>
        </w:rPr>
        <w:t xml:space="preserve">, or 504.515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504.515, Transportation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