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88R1595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Campbell, Perry</w:t>
      </w:r>
      <w:r xml:space="preserve">
        <w:tab wTab="150" tlc="none" cTlc="0"/>
      </w:r>
      <w:r>
        <w:t xml:space="preserve">S.B.</w:t>
      </w:r>
      <w:r xml:space="preserve">
        <w:t> </w:t>
      </w:r>
      <w:r>
        <w:t xml:space="preserve">No.</w:t>
      </w:r>
      <w:r xml:space="preserve">
        <w:t> </w:t>
      </w:r>
      <w:r>
        <w:t xml:space="preserve">249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genital mutilation.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167, Health and Safety Code, is amended to read as follows:</w:t>
      </w:r>
    </w:p>
    <w:p w:rsidR="003F3435" w:rsidRDefault="0032493E">
      <w:pPr>
        <w:spacing w:line="480" w:lineRule="auto"/>
        <w:jc w:val="center"/>
      </w:pPr>
      <w:r>
        <w:t xml:space="preserve">CHAPTER 167.  [</w:t>
      </w:r>
      <w:r>
        <w:rPr>
          <w:strike/>
        </w:rPr>
        <w:t xml:space="preserve">FEMALE</w:t>
      </w:r>
      <w:r>
        <w:t xml:space="preserve">] GENITAL MUTILATION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167.001, Health and Safety Code, is amended to read as follows:</w:t>
      </w:r>
    </w:p>
    <w:p w:rsidR="003F3435" w:rsidRDefault="0032493E">
      <w:pPr>
        <w:spacing w:line="480" w:lineRule="auto"/>
        <w:ind w:firstLine="720"/>
        <w:jc w:val="both"/>
      </w:pPr>
      <w:r>
        <w:t xml:space="preserve">Sec.</w:t>
      </w:r>
      <w:r xml:space="preserve">
        <w:t> </w:t>
      </w:r>
      <w:r>
        <w:t xml:space="preserve">167.001.</w:t>
      </w:r>
      <w:r xml:space="preserve">
        <w:t> </w:t>
      </w:r>
      <w:r xml:space="preserve">
        <w:t> </w:t>
      </w:r>
      <w:r>
        <w:t xml:space="preserve">[</w:t>
      </w:r>
      <w:r>
        <w:rPr>
          <w:strike/>
        </w:rPr>
        <w:t xml:space="preserve">FEMALE</w:t>
      </w:r>
      <w:r>
        <w:t xml:space="preserve">] GENITAL MUTILATION PROHIBITED.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167.001, Health and Safety Code, is amended by amending Subsections (a), (c), and (d) and adding Subsections (a-1), (e), and (f)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w:t>
      </w:r>
      <w:r>
        <w:rPr>
          <w:u w:val="single"/>
        </w:rPr>
        <w:t xml:space="preserve">performs a procedure described by Subsection (a-1) on</w:t>
      </w:r>
      <w:r>
        <w:t xml:space="preserve"> [</w:t>
      </w:r>
      <w:r>
        <w:rPr>
          <w:strike/>
        </w:rPr>
        <w:t xml:space="preserve">circumcises, excises, or infibulates any part of the labia majora or labia minora or clitoris of</w:t>
      </w:r>
      <w:r>
        <w:t xml:space="preserve">] another person who is younger than 18 years of age;</w:t>
      </w:r>
    </w:p>
    <w:p w:rsidR="003F3435" w:rsidRDefault="0032493E">
      <w:pPr>
        <w:spacing w:line="480" w:lineRule="auto"/>
        <w:ind w:firstLine="1440"/>
        <w:jc w:val="both"/>
      </w:pPr>
      <w:r>
        <w:t xml:space="preserve">(2)</w:t>
      </w:r>
      <w:r xml:space="preserve">
        <w:t> </w:t>
      </w:r>
      <w:r xml:space="preserve">
        <w:t> </w:t>
      </w:r>
      <w:r>
        <w:t xml:space="preserve">is a parent</w:t>
      </w:r>
      <w:r>
        <w:rPr>
          <w:u w:val="single"/>
        </w:rPr>
        <w:t xml:space="preserve">, caretaker,</w:t>
      </w:r>
      <w:r>
        <w:t xml:space="preserve"> or legal guardian of another person who is younger than 18 years of age and knowingly consents to or </w:t>
      </w:r>
      <w:r>
        <w:rPr>
          <w:u w:val="single"/>
        </w:rPr>
        <w:t xml:space="preserve">facilitates a procedure described by Subsection (a-1)</w:t>
      </w:r>
      <w:r>
        <w:t xml:space="preserve"> [</w:t>
      </w:r>
      <w:r>
        <w:rPr>
          <w:strike/>
        </w:rPr>
        <w:t xml:space="preserve">permits an act described by Subdivision (1)</w:t>
      </w:r>
      <w:r>
        <w:t xml:space="preserve">] to be performed on that person; or</w:t>
      </w:r>
    </w:p>
    <w:p w:rsidR="003F3435" w:rsidRDefault="0032493E">
      <w:pPr>
        <w:spacing w:line="480" w:lineRule="auto"/>
        <w:ind w:firstLine="1440"/>
        <w:jc w:val="both"/>
      </w:pPr>
      <w:r>
        <w:t xml:space="preserve">(3)</w:t>
      </w:r>
      <w:r xml:space="preserve">
        <w:t> </w:t>
      </w:r>
      <w:r xml:space="preserve">
        <w:t> </w:t>
      </w:r>
      <w:r>
        <w:t xml:space="preserve">knowingly transports or facilitates the transportation of another person who is younger than 18 years of age within this state or from this state for the purpose of having </w:t>
      </w:r>
      <w:r>
        <w:rPr>
          <w:u w:val="single"/>
        </w:rPr>
        <w:t xml:space="preserve">a procedure described by Subsection (a-1)</w:t>
      </w:r>
      <w:r>
        <w:t xml:space="preserve"> [</w:t>
      </w:r>
      <w:r>
        <w:rPr>
          <w:strike/>
        </w:rPr>
        <w:t xml:space="preserve">an act described by Subdivision (1)</w:t>
      </w:r>
      <w:r>
        <w:t xml:space="preserve">] performed on that person.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applies only to a procedure that involves the partial or total removal of, or other injury to, the genitals of a person, including the following genital surgeries: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clitorectomy, clitoroplasty, clitoral reduction, and clitoral recession, including corporal-sparing procedures;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vaginoplasty, introitoplasty, vaginal exteriorization, and partial or total urogenital sinus mobilization;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labiaplasty and labial reduction;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hypospadias surgery, relocation of the urethral meatus, and chordee release;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phalloplasty;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gonadectomy, including of testes, ovaries, ovotestes, or streak gonads.</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 that:</w:t>
      </w:r>
    </w:p>
    <w:p w:rsidR="003F3435" w:rsidRDefault="0032493E">
      <w:pPr>
        <w:spacing w:line="480" w:lineRule="auto"/>
        <w:ind w:firstLine="1440"/>
        <w:jc w:val="both"/>
      </w:pPr>
      <w:r>
        <w:t xml:space="preserve">(1)</w:t>
      </w:r>
      <w:r xml:space="preserve">
        <w:t> </w:t>
      </w:r>
      <w:r xml:space="preserve">
        <w:t> </w:t>
      </w:r>
      <w:r>
        <w:t xml:space="preserve">the person performing the </w:t>
      </w:r>
      <w:r>
        <w:rPr>
          <w:u w:val="single"/>
        </w:rPr>
        <w:t xml:space="preserve">procedure</w:t>
      </w:r>
      <w:r>
        <w:t xml:space="preserve"> [</w:t>
      </w:r>
      <w:r>
        <w:rPr>
          <w:strike/>
        </w:rPr>
        <w:t xml:space="preserve">act</w:t>
      </w:r>
      <w:r>
        <w:t xml:space="preserve">] is a physician or other licensed health care professional and the </w:t>
      </w:r>
      <w:r>
        <w:rPr>
          <w:u w:val="single"/>
        </w:rPr>
        <w:t xml:space="preserve">procedure</w:t>
      </w:r>
      <w:r>
        <w:t xml:space="preserve"> [</w:t>
      </w:r>
      <w:r>
        <w:rPr>
          <w:strike/>
        </w:rPr>
        <w:t xml:space="preserve">act</w:t>
      </w:r>
      <w:r>
        <w:t xml:space="preserve">] is within the scope of the person's license;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procedure is: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necessary for the person's physical health;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male circumcision;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performed on an intersex person</w:t>
      </w:r>
      <w:r>
        <w:t xml:space="preserve"> [</w:t>
      </w:r>
      <w:r>
        <w:rPr>
          <w:strike/>
        </w:rPr>
        <w:t xml:space="preserve">act is performed for medical purposes</w:t>
      </w:r>
      <w:r>
        <w:t xml:space="preserve">].</w:t>
      </w:r>
    </w:p>
    <w:p w:rsidR="003F3435" w:rsidRDefault="0032493E">
      <w:pPr>
        <w:spacing w:line="480" w:lineRule="auto"/>
        <w:ind w:firstLine="720"/>
        <w:jc w:val="both"/>
      </w:pPr>
      <w:r>
        <w:t xml:space="preserve">(d)</w:t>
      </w:r>
      <w:r xml:space="preserve">
        <w:t> </w:t>
      </w:r>
      <w:r xml:space="preserve">
        <w:t> </w:t>
      </w:r>
      <w:r>
        <w:t xml:space="preserve">It is not a defense to prosecution under </w:t>
      </w:r>
      <w:r>
        <w:rPr>
          <w:u w:val="single"/>
        </w:rPr>
        <w:t xml:space="preserve">Subsection (a)</w:t>
      </w:r>
      <w:r>
        <w:t xml:space="preserve"> [</w:t>
      </w:r>
      <w:r>
        <w:rPr>
          <w:strike/>
        </w:rPr>
        <w:t xml:space="preserve">this section</w:t>
      </w:r>
      <w:r>
        <w:t xml:space="preserve">] that </w:t>
      </w:r>
      <w:r>
        <w:rPr>
          <w:u w:val="single"/>
        </w:rPr>
        <w:t xml:space="preserve">the procedure is required as a matter of religion, custom, tradition, ritual, or standard practice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 on whom the circumcision, excision, or infibulation was performed or was to be performed, or another person authorized to consent to medical treatment of that person, including that person's parent or legal guardian, consented to the circumcision, excision, or infibulation;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circumcision, excision, or infibulation is required by a custom or practice of a particular group;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circumcision, excision, or infibulation was performed or was to be performed as part of or in connection with a religious or other ritual</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"intersex person"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inborn chromosomal, gonadal, genital, or endocrine characteristics, or a combination of those characteristics, that are not suited to the typical definition of male or female or are atypical for the determined sex of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by a medical professional to have inborn chromosomal, gonadal, genital, or endocrine characteristics that are ambiguous or atypical for the determined sex of the person.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Title 4, Penal Code, applies to an offense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