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et al.</w:t>
      </w:r>
      <w:r xml:space="preserve">
        <w:tab wTab="150" tlc="none" cTlc="0"/>
      </w:r>
      <w:r>
        <w:t xml:space="preserve">S.B.</w:t>
      </w:r>
      <w:r xml:space="preserve">
        <w:t> </w:t>
      </w:r>
      <w:r>
        <w:t xml:space="preserve">No.</w:t>
      </w:r>
      <w:r xml:space="preserve">
        <w:t> </w:t>
      </w:r>
      <w:r>
        <w:t xml:space="preserve">250</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28,</w:t>
      </w:r>
      <w:r xml:space="preserve">
        <w:t> </w:t>
      </w:r>
      <w:r>
        <w:t xml:space="preserve">2022; February</w:t>
      </w:r>
      <w:r xml:space="preserve">
        <w:t> </w:t>
      </w:r>
      <w:r>
        <w:t xml:space="preserve">15,</w:t>
      </w:r>
      <w:r xml:space="preserve">
        <w:t> </w:t>
      </w:r>
      <w:r>
        <w:t xml:space="preserve">2023, read first time and referred to Committee on State Affairs; April</w:t>
      </w:r>
      <w:r xml:space="preserve">
        <w:t> </w:t>
      </w:r>
      <w:r>
        <w:t xml:space="preserve">12,</w:t>
      </w:r>
      <w:r xml:space="preserve">
        <w:t> </w:t>
      </w:r>
      <w:r>
        <w:t xml:space="preserve">2023, reported favorably by the following vote:</w:t>
      </w:r>
      <w:r>
        <w:t xml:space="preserve"> </w:t>
      </w:r>
      <w:r>
        <w:t xml:space="preserve"> </w:t>
      </w:r>
      <w:r>
        <w:t xml:space="preserve">Yeas 9, Nays 2;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and professional liability insurance coverage for gender transitioning or gender reassignment medical procedures and treatments for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GENDER TRANSITIONING AND GENDER REASSIGNMENT PROCEDURES AND TREATMENTS FOR CERTAIN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an individual who is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 person other than a physician who is licensed, certified, or otherwise authorized by this state's laws to provide or render health care or to dispense or prescribe a prescription drug in the ordinary course of business or practice of a profession.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means a person licensed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PROHIBITED PROVISION OF GENDER TRANSITIONING OR GENDER REASSIGNMENT PROCEDURES AND TREATMENTS TO CERTAIN CHILDREN.  For the purpose of transitioning a child's biological sex as determined by the sex organs, chromosomes, and endogenous profiles of the child or affirming the child's perception of the child's sex if that perception is inconsistent with the child's biological sex, a physician or health care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 surgery that sterilizes the child,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vasectomy;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hysterectomy;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oophorectomy;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metoidioplasty;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orchiectomy;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penectomy;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phalloplasty;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vaginoplasty;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 mastectomy;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prescribe, administer, or supply any of the following medications that induce transient or permanent infertility: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puberty-blocking medication to stop or delay normal puberty;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supraphysiologic doses of testosterone to females;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supraphysiologic doses of estrogen to males;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remove any otherwise healthy or non-diseased body part or tissue.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EXCEPTIONS.  Section 161.702 does not apply to the provision by a physician or health care provider, with the consent of the child's parent or legal guardian, of appropriate and medically necessary gender transitioning or gender reassignment procedures or treatments to a child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born with a medically verifiable genetic disorder of sex development,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46,XX chromosomes with virilization;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46,XY chromosomes with undervirilization;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ovarian and testicular tissue;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the normal sex chromosome structure for male or female as determined by a physician through genetic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DISCIPLINARY ACTION. </w:t>
      </w:r>
      <w:r>
        <w:rPr>
          <w:u w:val="single"/>
        </w:rPr>
        <w:t xml:space="preserve"> </w:t>
      </w:r>
      <w:r>
        <w:rPr>
          <w:u w:val="single"/>
        </w:rPr>
        <w:t xml:space="preserve">The Texas Medical Board or another state regulatory agency with jurisdiction over a health care provider subject to Section 161.702 shall revoke the license, certification, or authorization of a physician or health care provider who the board or agency determines has violated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1901, Insurance Code, is amended by adding Section 1901.256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1901.256.</w:t>
      </w:r>
      <w:r>
        <w:rPr>
          <w:u w:val="single"/>
        </w:rPr>
        <w:t xml:space="preserve"> </w:t>
      </w:r>
      <w:r>
        <w:rPr>
          <w:u w:val="single"/>
        </w:rPr>
        <w:t xml:space="preserve"> </w:t>
      </w:r>
      <w:r>
        <w:rPr>
          <w:u w:val="single"/>
        </w:rPr>
        <w:t xml:space="preserve">PROHIBITED COVERAGE FOR PROVISION OF CERTAIN GENDER-RELATED PROCEDURES AND TREATMENTS TO CERTAIN CHILDREN.  A professional liability insurance policy issued to a physician or health care provider may not include coverage for damages assessed against the physician or health care provider who provides to a child gender transitioning or gender reassignment procedures or treatments that are prohibited by Section 161.702,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1901.256, Insurance Code, as added by this Act, applies only to a medical professional liability insurance policy that is delivered, issued for delivery, or renewed on or after the effective date of this Act. </w:t>
      </w:r>
      <w:r>
        <w:t xml:space="preserve"> </w:t>
      </w:r>
      <w:r>
        <w:t xml:space="preserve">An insurance policy that is delivered, issued for delivery, or renewed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