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w:t>
      </w:r>
      <w:r>
        <w:t xml:space="preserve"> </w:t>
      </w:r>
      <w:r>
        <w:t xml:space="preserve">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appoint or employ a person under this section to hold a supervisory position until the person becomes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evidence satisfactory to the commission that the person has applied for United States citizenship.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proof of legal permanent residence and proof that the person has applied for United States citizenship</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 passed the Senate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252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