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hiring and licensing certain veterans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COMMISSIONING AND EMPLOYING CERTAIN VETERANS AS PEACE OFFICERS.  Notwithstanding any other law, a political subdivision that commissions and employs peace officers may commission and employ as a peace officer a lawful permanent resident of the United States who is an honorably discharged veteran of the armed forces of the United States with at least two years of service before discharge.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LAWFUL PERMANENT RESIDENTS.  The commission shall issue a peace officer license to a person who is a lawful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Commission on Law Enforcement shall adopt or amend rules as necessary to comply with Section 1701.3095,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