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258</w:t>
      </w:r>
    </w:p>
    <w:p w:rsidR="003F3435" w:rsidRDefault="0032493E">
      <w:pPr>
        <w:spacing w:line="480" w:lineRule="auto"/>
        <w:ind w:firstLine="720"/>
        <w:jc w:val="both"/>
      </w:pPr>
      <w:r>
        <w:t xml:space="preserve">(In the Senate</w:t>
      </w:r>
      <w:r xml:space="preserve">
        <w:t> </w:t>
      </w:r>
      <w:r>
        <w:t xml:space="preserve">-</w:t>
      </w:r>
      <w:r xml:space="preserve">
        <w:t> </w:t>
      </w:r>
      <w:r>
        <w:t xml:space="preserve">Filed December</w:t>
      </w:r>
      <w:r xml:space="preserve">
        <w:t> </w:t>
      </w:r>
      <w:r>
        <w:t xml:space="preserve">1,</w:t>
      </w:r>
      <w:r xml:space="preserve">
        <w:t> </w:t>
      </w:r>
      <w:r>
        <w:t xml:space="preserve">2022; February</w:t>
      </w:r>
      <w:r xml:space="preserve">
        <w:t> </w:t>
      </w:r>
      <w:r>
        <w:t xml:space="preserve">15,</w:t>
      </w:r>
      <w:r xml:space="preserve">
        <w:t> </w:t>
      </w:r>
      <w:r>
        <w:t xml:space="preserve">2023, read first time and referred to Committee on Business &amp; Commerce; April</w:t>
      </w:r>
      <w:r xml:space="preserve">
        <w:t> </w:t>
      </w:r>
      <w:r>
        <w:t xml:space="preserve">26,</w:t>
      </w:r>
      <w:r xml:space="preserve">
        <w:t> </w:t>
      </w:r>
      <w:r>
        <w:t xml:space="preserve">2023, reported adversely, with favorable Committee Substitute by the following vote:</w:t>
      </w:r>
      <w:r>
        <w:t xml:space="preserve"> </w:t>
      </w:r>
      <w:r>
        <w:t xml:space="preserve"> </w:t>
      </w:r>
      <w:r>
        <w:t xml:space="preserve">Yeas 9, Nays 2;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258</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energy efficiency goals for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39.905, Utilities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meeting the demand goals provided by Subsection (a), the commission by rule shall provide a method to establish an annual energy savings goal of one percent not later than the 2030 calendar year for each electric utility.  The method must be based on the existing and expected usage of electricity delivered in a utility's service area that is required to pay the annual energy efficiency cost recovery fee.  In adopting rules, the commission may provide for cost caps for the implementation of this subsection and provide good cause exceptions for a utility that is unable to meet the goal in a cost-effective manner.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Public Utility Commission of Texas shall adopt rules to implement the changes made by this Act to Section 39.905, Utilities Code, not later than December 31,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