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88R3914 JON-D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confirmation of a voter's residence by a voter registrar.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15.051(a),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If the registrar has reason to believe that a voter's current residence is different from that indicated on the registration records, or that the voter's residence address is a commercial post office box or similar location that does not correspond to a residence, the</w:t>
      </w:r>
      <w:r>
        <w:t xml:space="preserve">] registrar shall deliver to </w:t>
      </w:r>
      <w:r>
        <w:rPr>
          <w:u w:val="single"/>
        </w:rPr>
        <w:t xml:space="preserve">a</w:t>
      </w:r>
      <w:r>
        <w:t xml:space="preserve"> [</w:t>
      </w:r>
      <w:r>
        <w:rPr>
          <w:strike/>
        </w:rPr>
        <w:t xml:space="preserve">the</w:t>
      </w:r>
      <w:r>
        <w:t xml:space="preserve">] voter a written confirmation notice requesting confirmation of the voter's current residence </w:t>
      </w:r>
      <w:r>
        <w:rPr>
          <w:u w:val="single"/>
        </w:rPr>
        <w:t xml:space="preserve">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residence address is a commercial post office box or similar location that does not correspond to a residence;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November 30 following a general election: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voter's name is not on the suspense list;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voter has not voted in any election during the previous 25 months;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registrar has any other reason to believe that a voter's current residence is different from that indicated on the registration records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