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Hall</w:t>
      </w:r>
      <w:r xml:space="preserve">
        <w:tab wTab="150" tlc="none" cTlc="0"/>
      </w:r>
      <w:r>
        <w:t xml:space="preserve">S.B.</w:t>
      </w:r>
      <w:r xml:space="preserve">
        <w:t> </w:t>
      </w:r>
      <w:r>
        <w:t xml:space="preserve">No.</w:t>
      </w:r>
      <w:r xml:space="preserve">
        <w:t> </w:t>
      </w:r>
      <w:r>
        <w:t xml:space="preserve">265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reports of certain vaccine-related or drug-related adverse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161.0103.</w:t>
      </w:r>
      <w:r>
        <w:rPr>
          <w:u w:val="single"/>
        </w:rPr>
        <w:t xml:space="preserve"> </w:t>
      </w:r>
      <w:r>
        <w:rPr>
          <w:u w:val="single"/>
        </w:rPr>
        <w:t xml:space="preserve"> </w:t>
      </w:r>
      <w:r>
        <w:rPr>
          <w:u w:val="single"/>
        </w:rPr>
        <w:t xml:space="preserve">REQUIRED REPORT OF CERTAIN VACCINE-RELATED ADVERSE EVENTS. </w:t>
      </w:r>
      <w:r>
        <w:rPr>
          <w:u w:val="single"/>
        </w:rPr>
        <w:t xml:space="preserve"> </w:t>
      </w:r>
      <w:r>
        <w:rPr>
          <w:u w:val="single"/>
        </w:rPr>
        <w:t xml:space="preserve">(a) </w:t>
      </w:r>
      <w:r>
        <w:rPr>
          <w:u w:val="single"/>
        </w:rPr>
        <w:t xml:space="preserve"> </w:t>
      </w:r>
      <w:r>
        <w:rPr>
          <w:u w:val="single"/>
        </w:rPr>
        <w:t xml:space="preserve">In this section, "serious adverse event" means an event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results in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life-threatening;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results in inpatient hospitalization or an extension of the duration of an existing hospitalization;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results in a persistent or significant incapacity or substantial disruption of a person's ability to perform normal life functions;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results in a congenital anomaly or birth defect;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results in a medically important condition that, based on the physician's reasonable medical judgment, may require medical or surgical intervention to prevent an outcome described by Subdivisions (1) through (5).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vaccine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experimental or investigational;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approved or authorized for emergency use by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this section does not apply to a vaccine administered as part of a clinical trial.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physician shall report to the federal Vaccine Adverse Event Reporting System any serious adverse event the physician's patient suffers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diagnoses the patient with a condition related to the serious adverse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knows the patient received a vaccination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suffers the serious adverse event before the first anniversary of the date the patient was vaccinated.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violates this section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initial violation, non-disciplinary corrective action by the Texas Medical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subsequent violation, disciplinary action by the Texas Medical Board as if the physician violated Subtitle B, Title 3, Occupations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non-disciplinary corrective action or disciplinary action imposed under Subsection (e), a violation of this section may not be considered after the third anniversary of the date of the violation. </w:t>
      </w:r>
      <w:r>
        <w:rPr>
          <w:u w:val="single"/>
        </w:rPr>
        <w:t xml:space="preserve"> </w:t>
      </w:r>
      <w:r>
        <w:rPr>
          <w:u w:val="single"/>
        </w:rPr>
        <w:t xml:space="preserve">However, the Texas Medical Board must retain information on each violation in the physician's permanent record.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431, Health and Safety Code, is amended by adding Section 431.1145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431.1145.</w:t>
      </w:r>
      <w:r>
        <w:rPr>
          <w:u w:val="single"/>
        </w:rPr>
        <w:t xml:space="preserve"> </w:t>
      </w:r>
      <w:r>
        <w:rPr>
          <w:u w:val="single"/>
        </w:rPr>
        <w:t xml:space="preserve"> </w:t>
      </w:r>
      <w:r>
        <w:rPr>
          <w:u w:val="single"/>
        </w:rPr>
        <w:t xml:space="preserve">REQUIRED REPORT OF CERTAIN DRUG-RELATED ADVERSE EVENTS.  (a) </w:t>
      </w:r>
      <w:r>
        <w:rPr>
          <w:u w:val="single"/>
        </w:rPr>
        <w:t xml:space="preserve"> </w:t>
      </w:r>
      <w:r>
        <w:rPr>
          <w:u w:val="single"/>
        </w:rPr>
        <w:t xml:space="preserve">In this section, "serious adverse event" means an event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results in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life-threatening;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results in inpatient hospitalization or an extension of the duration of an existing hospitalization;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results in a persistent or significant incapacity or substantial disruption of the person's ability to perform normal life functions;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results in a congenital anomaly or birth defect;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results in a medically important medical condition that, based on the physician's reasonable medical judgment, may require medical or surgical intervention to prevent an outcome described by Subdivisions (1) through (5).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experimental or investigational;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approved or authorized for emergency use by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this section does not apply to a drug that is administered or used as part of a clinical trial.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physician shall report to the United States Food and Drug Administration through the MedWatch Reporting System any serious adverse event the physician's patient suffers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diagnoses the patient with a condition related to the serious adverse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knows the patient was administered or used a drug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suffers the serious adverse event before the first anniversary of the date the patient was administered or used the drug.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violates this section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initial violation, non-disciplinary corrective action by the Texas Medical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subsequent violation, disciplinary action by the Texas Medical Board as if the physician violated Subtitle B, Title 3, Occupations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non-disciplinary corrective action or disciplinary action imposed under Subsection (e), a violation is not considered after the third anniversary of the date of the violation. </w:t>
      </w:r>
      <w:r>
        <w:rPr>
          <w:u w:val="single"/>
        </w:rPr>
        <w:t xml:space="preserve"> </w:t>
      </w:r>
      <w:r>
        <w:rPr>
          <w:u w:val="single"/>
        </w:rPr>
        <w:t xml:space="preserve">However, the Texas Medical Board must retain information on each violation in the physician's permanent record.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