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reports of certain vaccine-related or drug-related injuries and adverse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Health and Safety Code, is amended by adding Section 161.0103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161.0103.</w:t>
      </w:r>
      <w:r>
        <w:rPr>
          <w:u w:val="single"/>
        </w:rPr>
        <w:t xml:space="preserve"> </w:t>
      </w:r>
      <w:r>
        <w:rPr>
          <w:u w:val="single"/>
        </w:rPr>
        <w:t xml:space="preserve"> </w:t>
      </w:r>
      <w:r>
        <w:rPr>
          <w:u w:val="single"/>
        </w:rPr>
        <w:t xml:space="preserve">REQUIRED REPORT OF CERTAIN VACCINE-RELATED INJURIES AND ADVERSE EVENTS. </w:t>
      </w:r>
      <w:r>
        <w:rPr>
          <w:u w:val="single"/>
        </w:rPr>
        <w:t xml:space="preserve"> </w:t>
      </w:r>
      <w:r>
        <w:rPr>
          <w:u w:val="single"/>
        </w:rPr>
        <w:t xml:space="preserve">(a) </w:t>
      </w:r>
      <w:r>
        <w:rPr>
          <w:u w:val="single"/>
        </w:rPr>
        <w:t xml:space="preserve"> </w:t>
      </w:r>
      <w:r>
        <w:rPr>
          <w:u w:val="single"/>
        </w:rPr>
        <w:t xml:space="preserve">This section applies only to a vaccine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experimental or investigational;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approved or authorized for emergency use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for a vaccine to which this section applies a physician shall report to the federal Vaccine Adverse Event Reporting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potential vaccine-related injury of a patient the physician treats;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adverse event following the patient's vaccination.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who violates this section is subject to disciplinary action by the Texas Medical Board as if the physician violated Subtitle B, Title 3,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431, Health and Safety Code, is amended by adding Section 431.1145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431.1145.</w:t>
      </w:r>
      <w:r>
        <w:rPr>
          <w:u w:val="single"/>
        </w:rPr>
        <w:t xml:space="preserve"> </w:t>
      </w:r>
      <w:r>
        <w:rPr>
          <w:u w:val="single"/>
        </w:rPr>
        <w:t xml:space="preserve"> </w:t>
      </w:r>
      <w:r>
        <w:rPr>
          <w:u w:val="single"/>
        </w:rPr>
        <w:t xml:space="preserve">REQUIRED REPORT OF CERTAIN DRUG-RELATED INJURIES AND ADVERSE EVENTS. </w:t>
      </w:r>
      <w:r>
        <w:rPr>
          <w:u w:val="single"/>
        </w:rPr>
        <w:t xml:space="preserve"> </w:t>
      </w:r>
      <w:r>
        <w:rPr>
          <w:u w:val="single"/>
        </w:rPr>
        <w:t xml:space="preserve">(a) </w:t>
      </w:r>
      <w:r>
        <w:rPr>
          <w:u w:val="single"/>
        </w:rPr>
        <w:t xml:space="preserve"> </w:t>
      </w:r>
      <w:r>
        <w:rPr>
          <w:u w:val="single"/>
        </w:rPr>
        <w:t xml:space="preserve">This section applies only to a drug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experimental or investigational;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approved or authorized for emergency use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for a drug to which this section applies a physician shall report to the United States Food and Drug Administration through the MedWatch Reporting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potential drug-related injury of a patient the physician treats;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adverse event following the administration or use of the drug.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who violates this section is subject to disciplinary action by the Texas Medical Board as if the physician violated Subtitle B, Title 3,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