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88R4741 JRR-F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w:t>
      </w:r>
      <w:r xml:space="preserve">
        <w:tab wTab="150" tlc="none" cTlc="0"/>
      </w:r>
      <w:r>
        <w:t xml:space="preserve">S.B.</w:t>
      </w:r>
      <w:r xml:space="preserve">
        <w:t> </w:t>
      </w:r>
      <w:r>
        <w:t xml:space="preserve">No.</w:t>
      </w:r>
      <w:r xml:space="preserve">
        <w:t> </w:t>
      </w:r>
      <w:r>
        <w:t xml:space="preserve">269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criminal offense of residential picketing.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42.04(a) and (c), Penal Code, are amended to read as follows:</w:t>
      </w:r>
    </w:p>
    <w:p w:rsidR="003F3435" w:rsidRDefault="0032493E">
      <w:pPr>
        <w:spacing w:line="480" w:lineRule="auto"/>
        <w:ind w:firstLine="720"/>
        <w:jc w:val="both"/>
      </w:pPr>
      <w:r>
        <w:t xml:space="preserve">(a)</w:t>
      </w:r>
      <w:r xml:space="preserve">
        <w:t> </w:t>
      </w:r>
      <w:r xml:space="preserve">
        <w:t> </w:t>
      </w:r>
      <w:r>
        <w:t xml:space="preserve">If conduct that would otherwise violate Section 42.01(a)(5) (Unreasonable Noise), 42.03 (Obstructing Passageway), [</w:t>
      </w:r>
      <w:r>
        <w:rPr>
          <w:strike/>
        </w:rPr>
        <w:t xml:space="preserve">or</w:t>
      </w:r>
      <w:r>
        <w:t xml:space="preserve">] 42.055 (Funeral Service Disruptions)</w:t>
      </w:r>
      <w:r>
        <w:rPr>
          <w:u w:val="single"/>
        </w:rPr>
        <w:t xml:space="preserve">, or 42.056 (Residential Picketing)</w:t>
      </w:r>
      <w:r>
        <w:t xml:space="preserve"> consists of speech or other communication, of gathering with others to hear or observe such speech or communication, or of gathering with others to picket or otherwise express in a nonviolent manner a position on social, economic, political, or religious questions, the actor must be ordered to move, disperse, or otherwise remedy the violation prior to </w:t>
      </w:r>
      <w:r>
        <w:rPr>
          <w:u w:val="single"/>
        </w:rPr>
        <w:t xml:space="preserve">the actor's</w:t>
      </w:r>
      <w:r>
        <w:t xml:space="preserve"> [</w:t>
      </w:r>
      <w:r>
        <w:rPr>
          <w:strike/>
        </w:rPr>
        <w:t xml:space="preserve">his</w:t>
      </w:r>
      <w:r>
        <w:t xml:space="preserve">] arrest if </w:t>
      </w:r>
      <w:r>
        <w:rPr>
          <w:u w:val="single"/>
        </w:rPr>
        <w:t xml:space="preserve">the actor</w:t>
      </w:r>
      <w:r>
        <w:t xml:space="preserve"> [</w:t>
      </w:r>
      <w:r>
        <w:rPr>
          <w:strike/>
        </w:rPr>
        <w:t xml:space="preserve">he</w:t>
      </w:r>
      <w:r>
        <w:t xml:space="preserve">] has not yet intentionally harmed the interests of others which those sections seek to protect.</w:t>
      </w:r>
    </w:p>
    <w:p w:rsidR="003F3435" w:rsidRDefault="0032493E">
      <w:pPr>
        <w:spacing w:line="480" w:lineRule="auto"/>
        <w:ind w:firstLine="720"/>
        <w:jc w:val="both"/>
      </w:pPr>
      <w:r>
        <w:t xml:space="preserve">(c)</w:t>
      </w:r>
      <w:r xml:space="preserve">
        <w:t> </w:t>
      </w:r>
      <w:r xml:space="preserve">
        <w:t> </w:t>
      </w:r>
      <w:r>
        <w:t xml:space="preserve">It is a defense to prosecution under Section 42.01(a)(5), 42.03, [</w:t>
      </w:r>
      <w:r>
        <w:rPr>
          <w:strike/>
        </w:rPr>
        <w:t xml:space="preserve">or</w:t>
      </w:r>
      <w:r>
        <w:t xml:space="preserve">] 42.055</w:t>
      </w:r>
      <w:r>
        <w:rPr>
          <w:u w:val="single"/>
        </w:rPr>
        <w:t xml:space="preserve">, or 42.056</w:t>
      </w:r>
      <w:r>
        <w:t xml:space="preserve">:</w:t>
      </w:r>
    </w:p>
    <w:p w:rsidR="003F3435" w:rsidRDefault="0032493E">
      <w:pPr>
        <w:spacing w:line="480" w:lineRule="auto"/>
        <w:ind w:firstLine="1440"/>
        <w:jc w:val="both"/>
      </w:pPr>
      <w:r>
        <w:t xml:space="preserve">(1)</w:t>
      </w:r>
      <w:r xml:space="preserve">
        <w:t> </w:t>
      </w:r>
      <w:r xml:space="preserve">
        <w:t> </w:t>
      </w:r>
      <w:r>
        <w:t xml:space="preserve">that in circumstances in which this section requires an order no order was given;</w:t>
      </w:r>
    </w:p>
    <w:p w:rsidR="003F3435" w:rsidRDefault="0032493E">
      <w:pPr>
        <w:spacing w:line="480" w:lineRule="auto"/>
        <w:ind w:firstLine="1440"/>
        <w:jc w:val="both"/>
      </w:pPr>
      <w:r>
        <w:t xml:space="preserve">(2)</w:t>
      </w:r>
      <w:r xml:space="preserve">
        <w:t> </w:t>
      </w:r>
      <w:r xml:space="preserve">
        <w:t> </w:t>
      </w:r>
      <w:r>
        <w:t xml:space="preserve">that an order, if given, was manifestly unreasonable in scope; or</w:t>
      </w:r>
    </w:p>
    <w:p w:rsidR="003F3435" w:rsidRDefault="0032493E">
      <w:pPr>
        <w:spacing w:line="480" w:lineRule="auto"/>
        <w:ind w:firstLine="1440"/>
        <w:jc w:val="both"/>
      </w:pPr>
      <w:r>
        <w:t xml:space="preserve">(3)</w:t>
      </w:r>
      <w:r xml:space="preserve">
        <w:t> </w:t>
      </w:r>
      <w:r xml:space="preserve">
        <w:t> </w:t>
      </w:r>
      <w:r>
        <w:t xml:space="preserve">that an order, if given, was promptly obeyed.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42, Penal Code, is amended by adding Section 42.056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42.056.</w:t>
      </w:r>
      <w:r>
        <w:rPr>
          <w:u w:val="single"/>
        </w:rPr>
        <w:t xml:space="preserve"> </w:t>
      </w:r>
      <w:r>
        <w:rPr>
          <w:u w:val="single"/>
        </w:rPr>
        <w:t xml:space="preserve"> </w:t>
      </w:r>
      <w:r>
        <w:rPr>
          <w:u w:val="single"/>
        </w:rPr>
        <w:t xml:space="preserve">RESIDENTIAL PICKETING.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"Dwelling" means any structure or part of a structure that is occupied as, or designed or intended for occupancy as, a residence by one or more individuals.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"Picketing"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standing, sitting, or repeated walking, riding, driving, or other similar action by a person displaying or carrying a banner, placard, or sign;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engaging in loud singing, chanting, whistling, or yelling, with or without noise amplification through a device such as a bullhorn or microphone;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blocking access to a dwelling.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engages in picketing before or about the dwelling of any individual with the intent to harass or disturb the individual in the individual's dwelling.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offense under this section is a Class B misdemeanor.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conduct constituting an offense under this section also constitutes an offense under another law, the actor may be prosecuted under this section, the other law, or both.</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269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