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88R2850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300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pharmacist's authority to refuse to dispense a drug.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551.006,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551.006.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EXCLUSIVE</w:t>
      </w:r>
      <w:r>
        <w:t xml:space="preserve">] AUTHORITY </w:t>
      </w:r>
      <w:r>
        <w:rPr>
          <w:u w:val="single"/>
        </w:rPr>
        <w:t xml:space="preserve">TO REFUSE TO DISPENSE</w:t>
      </w:r>
      <w:r>
        <w:t xml:space="preserve">.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"emergency contraceptive" means a drug containing an elevated dose of hormones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used postcoitally;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prevents pregnancy by preventing fertilization of an egg or preventing implantation of a fertilized egg in a uterus;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approved by the United States Food and Drug Administration.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Notwithstanding any other law, a pharmacist </w:t>
      </w:r>
      <w:r>
        <w:rPr>
          <w:u w:val="single"/>
        </w:rPr>
        <w:t xml:space="preserve">may refuse to dispense a drug only if the drug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abortion-inducing drug or emergency contraceptive;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controlled substance listed in Schedules II through V as established under Chapter 481, Health and Safety Code, and the pharmacist reasonably suspects the drug will be misused</w:t>
      </w:r>
      <w:r>
        <w:t xml:space="preserve"> [</w:t>
      </w:r>
      <w:r>
        <w:rPr>
          <w:strike/>
        </w:rPr>
        <w:t xml:space="preserve">has the exclusive authority to determine whether or not to dispense a drug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