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88R3247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302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employer civil liability for a vaccine requirement imposed on the employer's employees.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4, Civil Practice and Remedies Code, is amended by adding Chapter 100B to read as follows:</w:t>
      </w:r>
    </w:p>
    <w:p w:rsidR="003F3435" w:rsidRDefault="0032493E">
      <w:pPr>
        <w:spacing w:line="480" w:lineRule="auto"/>
        <w:jc w:val="center"/>
      </w:pPr>
      <w:r>
        <w:rPr>
          <w:u w:val="single"/>
        </w:rPr>
        <w:t xml:space="preserve">CHAPTER 100B. LIABILITY FOR VACCINE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100B.001.</w:t>
      </w:r>
      <w:r>
        <w:rPr>
          <w:u w:val="single"/>
        </w:rPr>
        <w:t xml:space="preserve"> </w:t>
      </w:r>
      <w:r>
        <w:rPr>
          <w:u w:val="single"/>
        </w:rPr>
        <w:t xml:space="preserve"> </w:t>
      </w:r>
      <w:r>
        <w:rPr>
          <w:u w:val="single"/>
        </w:rPr>
        <w:t xml:space="preserve">EMPLOYER LIABILITY FOR VACCINE REQUIREMENTS.  (a) </w:t>
      </w:r>
      <w:r>
        <w:rPr>
          <w:u w:val="single"/>
        </w:rPr>
        <w:t xml:space="preserve"> </w:t>
      </w:r>
      <w:r>
        <w:rPr>
          <w:u w:val="single"/>
        </w:rPr>
        <w:t xml:space="preserve">Notwithstanding Section 408.001, Labor Code, and except as provided by Subsection (b) of this section, an employee or the employee's legal representative if the employee is deceased or incapacitated may bring an action against the employee's employer for damages arising from adverse health events that are a result of the employer's vaccine requirement for employees.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an employer that accepts the following exemptions from the employer's vaccine requirement for employees: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employee has reasons of conscience, including a religious belief, that conflict with the employer's vaccine requirement;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vaccination is medically contraindicated based on the opinion of a physician who has examined the employee.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court may award a claimant who prevails in an action brought under this section reasonable attorney's fees and court costs.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100B.001, Civil Practice and Remedies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