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vaccine administration requirements and protection of immunization exemptions for health reasons.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Sections 161.0035 and 161.0045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161.0035.</w:t>
      </w:r>
      <w:r>
        <w:rPr>
          <w:u w:val="single"/>
        </w:rPr>
        <w:t xml:space="preserve"> </w:t>
      </w:r>
      <w:r>
        <w:rPr>
          <w:u w:val="single"/>
        </w:rPr>
        <w:t xml:space="preserve"> </w:t>
      </w:r>
      <w:r>
        <w:rPr>
          <w:u w:val="single"/>
        </w:rPr>
        <w:t xml:space="preserve">VACCINATION ADMINISTRATION REQUIREMENTS.  (a) </w:t>
      </w:r>
      <w:r>
        <w:rPr>
          <w:u w:val="single"/>
        </w:rPr>
        <w:t xml:space="preserve"> </w:t>
      </w:r>
      <w:r>
        <w:rPr>
          <w:u w:val="single"/>
        </w:rPr>
        <w:t xml:space="preserve">A person administering a vaccine to a patient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administering the vaccine, provide to the patient written information on the vaccine's benefits and risks, including any vaccine information statement required by the National Childhood Vaccine Injury Act of 1986 (42 U.S.C. Section 300aa-1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vaccine the person administers, maintain a permanent record of the vaccine manufacturer and lot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record each serious health problem, including hospitalization, injury, or death, a patient sustains following a vaccine the person administers and place that information in the patient's record;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report to the federal Vaccine Adverse Event Reporting System any serious health problem, including hospitalization, injury, or death, a patient sustains following a vaccine the person administers;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vaccine administered, provide to the patient the Vaccine Excipient Summary published by the Centers for Disease Control and Prevention.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Reporting an adverse event associated with the administration of a vaccine to the vaccine manufacturer does not satisfy the requirements of Subsection (a)(4).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this section and holds a license or other certification issued by this state that authorizes the person to administer a vaccine is subject to disciplinary action by the appropriate licensing or certifying authority as if the person violated the applicable licensing or certification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bring a civil action to enjoin a violation of this section against a person who violates this section and who is not subject to disciplinary action under Subsection (c). A claimant who prevails in the action may recover attorney's fees and costs associated with bringing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161.0045.</w:t>
      </w:r>
      <w:r>
        <w:rPr>
          <w:u w:val="single"/>
        </w:rPr>
        <w:t xml:space="preserve"> </w:t>
      </w:r>
      <w:r>
        <w:rPr>
          <w:u w:val="single"/>
        </w:rPr>
        <w:t xml:space="preserve"> </w:t>
      </w:r>
      <w:r>
        <w:rPr>
          <w:u w:val="single"/>
        </w:rPr>
        <w:t xml:space="preserve">IMMUNIZATION HEALTH EXEMPTION PROTECTIONS.  (a) In this section, "health exemption" means an affidavit or certificate a health care practitioner signs stating that, in the practitioner's opinion, an immunization poses a significant risk to the health and well-being of the practitioner's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official, including an official for a licensing or certification authority, may not question or sanction a health care practitioner for granting a health  exemption to the practitioner's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person, including a state public health official, child-care facility, school, institution of higher education, public or private employer, and medical service or long-term care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 health exemption: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by a health care practitioner;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filed by an individual on behalf of the individual or the individual's minor child for education, employment, medical or long-term care, or another activity necessary for the individual's quality of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exempt the individual described by the health exemption from an immunization requirement imposed by the person or under the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violates Subsection (c) and holds a license or other certification issued by this state is subject to disciplinary action by the appropriate licensing or certifying authority as if the person violated the applicable licensing or certification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bring a civil action to enjoin a violation of this section against a person who violates this section and who is not subject to disciplinary action under Subsection (d). A claimant who prevails in the action may recover attorney's fees and costs associated with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