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88R4142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322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compensation of members of the seawall commission in Matagorda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9501.057(a), Special District Local Laws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 and the governing body of the municipality by order or resolution shall set the compensation of members of the commission.  The amount of compensation for each member may not exceed </w:t>
      </w:r>
      <w:r>
        <w:rPr>
          <w:u w:val="single"/>
        </w:rPr>
        <w:t xml:space="preserve">$150</w:t>
      </w:r>
      <w:r>
        <w:t xml:space="preserve"> [</w:t>
      </w:r>
      <w:r>
        <w:rPr>
          <w:strike/>
        </w:rPr>
        <w:t xml:space="preserve">$50</w:t>
      </w:r>
      <w:r>
        <w:t xml:space="preserve">] for each day that the member attends an official meeting of the commission.  The total amount of compensation for each member each month may not exceed </w:t>
      </w:r>
      <w:r>
        <w:rPr>
          <w:u w:val="single"/>
        </w:rPr>
        <w:t xml:space="preserve">$600</w:t>
      </w:r>
      <w:r>
        <w:t xml:space="preserve"> [</w:t>
      </w:r>
      <w:r>
        <w:rPr>
          <w:strike/>
        </w:rPr>
        <w:t xml:space="preserve">$300</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