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88R634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meetings of the Family and Protective Services Council held using certain telecommunication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40.021, Human Resources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council meeting held by use of a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open to the public and audible to the public at the location specified in the notice of the meeting;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provide two-way audio communication: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between all board members attending the meeting during the entire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public testimony is provided at the meeting, between all board members and a member of the public testifying at the specified meeting location during the public testimony portion of the meeting;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two-way audio communication link described by Subdivision (3) is disrupted at any time,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Family and Protective Services Council meeting held on or after the effective date of this Act. A meeting held before the effective date of this Act is governed by the law in effect on the date of the meeting,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