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335</w:t>
      </w:r>
    </w:p>
    <w:p w:rsidR="003F3435" w:rsidRDefault="0032493E">
      <w:pPr>
        <w:spacing w:line="480" w:lineRule="auto"/>
        <w:ind w:firstLine="720"/>
        <w:jc w:val="both"/>
      </w:pPr>
      <w:r>
        <w:t xml:space="preserve">(In the Senate - Filed December</w:t>
      </w:r>
      <w:r xml:space="preserve">
        <w:t> </w:t>
      </w:r>
      <w:r>
        <w:t xml:space="preserve">21,</w:t>
      </w:r>
      <w:r xml:space="preserve">
        <w:t> </w:t>
      </w:r>
      <w:r>
        <w:t xml:space="preserve">2022; February</w:t>
      </w:r>
      <w:r xml:space="preserve">
        <w:t> </w:t>
      </w:r>
      <w:r>
        <w:t xml:space="preserve">15,</w:t>
      </w:r>
      <w:r xml:space="preserve">
        <w:t> </w:t>
      </w:r>
      <w:r>
        <w:t xml:space="preserve">2023, read first time and referred to Committee on Business &amp; Commerce; March</w:t>
      </w:r>
      <w:r xml:space="preserve">
        <w:t> </w:t>
      </w:r>
      <w:r>
        <w:t xml:space="preserve">16,</w:t>
      </w:r>
      <w:r xml:space="preserve">
        <w:t> </w:t>
      </w:r>
      <w:r>
        <w:t xml:space="preserve">2023, reported favorably by the following vote:</w:t>
      </w:r>
      <w:r>
        <w:t xml:space="preserve"> </w:t>
      </w:r>
      <w:r>
        <w:t xml:space="preserve"> </w:t>
      </w:r>
      <w:r>
        <w:t xml:space="preserve">Yeas 11, Nays 0; March</w:t>
      </w:r>
      <w:r xml:space="preserve">
        <w:t> </w:t>
      </w:r>
      <w:r>
        <w:t xml:space="preserve">16,</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meetings of the Family and Protective Services Council held using certain telecommunication devices.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40.021, Human Resources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council meeting held by use of a telephone conference call, video conference call, or other similar telecommunication device: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subject to the notice requirements applicable to other meetings;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be open to the public and audible to the public at the location specified in the notice of the meeting;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provide two-way audio communication: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between all board members attending the meeting during the entire meeting;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public testimony is provided at the meeting, between all board members and a member of the public testifying at the specified meeting location during the public testimony portion of the meeting;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two-way audio communication link described by Subdivision (3) is disrupted at any time, may not continue until the two-way audio communication link is reestablished.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Family and Protective Services Council meeting held on or after the effective date of this Act. </w:t>
      </w:r>
      <w:r>
        <w:t xml:space="preserve"> </w:t>
      </w:r>
      <w:r>
        <w:t xml:space="preserve">A meeting held before the effective date of this Act is governed by the law in effect on the date of the meeting,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