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336</w:t>
      </w:r>
    </w:p>
    <w:p w:rsidR="003F3435" w:rsidRDefault="0032493E">
      <w:pPr>
        <w:spacing w:line="480" w:lineRule="auto"/>
        <w:ind w:firstLine="720"/>
        <w:jc w:val="both"/>
      </w:pPr>
      <w:r>
        <w:t xml:space="preserve">(</w:t>
      </w:r>
      <w:r>
        <w:t xml:space="preserve">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28,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</w:t>
      </w:r>
      <w:r>
        <w:t xml:space="preserve"> read first time and referred to Subcommittee on Higher Education;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12,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compliance programs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51.971(a)(1),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"Compliance program" means a process to assess and ensure compliance by the officers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employees</w:t>
      </w:r>
      <w:r>
        <w:rPr>
          <w:u w:val="single"/>
        </w:rPr>
        <w:t xml:space="preserve">, agents, contractors, subcontractors, or other persons acting on behalf</w:t>
      </w:r>
      <w:r>
        <w:t xml:space="preserve"> of an institution of higher education with applicable laws, rules, regulations, and policies, including matters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ethics and standards of conduct;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financial reporting;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internal accounting controls;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auditing.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