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et al.</w:t>
      </w:r>
      <w:r xml:space="preserve">
        <w:tab wTab="150" tlc="none" cTlc="0"/>
      </w:r>
      <w:r>
        <w:t xml:space="preserve">S.B.</w:t>
      </w:r>
      <w:r xml:space="preserve">
        <w:t> </w:t>
      </w:r>
      <w:r>
        <w:t xml:space="preserve">No.</w:t>
      </w:r>
      <w:r xml:space="preserve">
        <w:t> </w:t>
      </w:r>
      <w:r>
        <w:t xml:space="preserve">338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hypnotically induced statements in a criminal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STATEMENTS OBTAINED BY INVESTIGATIVE HYPNOSIS.  (a)  In this article, "investigative hypnosis" means a law enforcement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w:t>
      </w:r>
      <w:r>
        <w:rPr>
          <w:u w:val="single"/>
        </w:rPr>
        <w:t xml:space="preserve"> </w:t>
      </w:r>
      <w:r>
        <w:rPr>
          <w:u w:val="single"/>
        </w:rPr>
        <w:t xml:space="preserve">Notwithstanding Article 38.23, this article does not affect the admissibility of any physical evidence, or the testimony of any witness identified, that independently corroborates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admissibility of a statement in a criminal proceeding that commences on or after the effective date of this Act. </w:t>
      </w:r>
      <w:r>
        <w:t xml:space="preserve"> </w:t>
      </w:r>
      <w:r>
        <w:t xml:space="preserve">The admissibility of a statement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